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yellow"/>
        </w:rPr>
      </w:pPr>
      <w:bookmarkStart w:id="0" w:name="EB6b76363171624fdb85a678cc78a350d3"/>
      <w:bookmarkEnd w:id="0"/>
      <w:bookmarkStart w:id="1" w:name="EB6eb5aff867f840fba3e2b725f87e3bab"/>
      <w:bookmarkEnd w:id="1"/>
    </w:p>
    <w:p>
      <w:pPr>
        <w:spacing w:line="400" w:lineRule="exact"/>
        <w:jc w:val="center"/>
        <w:rPr>
          <w:rFonts w:ascii="黑体" w:eastAsia="黑体"/>
          <w:color w:val="000000"/>
          <w:sz w:val="27"/>
          <w:szCs w:val="27"/>
          <w:u w:val="single"/>
        </w:rPr>
      </w:pPr>
    </w:p>
    <w:p>
      <w:pPr>
        <w:spacing w:line="400" w:lineRule="exact"/>
        <w:jc w:val="center"/>
        <w:rPr>
          <w:rFonts w:ascii="黑体" w:eastAsia="黑体"/>
          <w:color w:val="000000"/>
          <w:sz w:val="27"/>
          <w:szCs w:val="27"/>
          <w:u w:val="single"/>
        </w:rPr>
      </w:pPr>
    </w:p>
    <w:p>
      <w:pPr>
        <w:spacing w:line="400" w:lineRule="exact"/>
        <w:jc w:val="center"/>
        <w:rPr>
          <w:rFonts w:ascii="黑体" w:eastAsia="黑体"/>
          <w:color w:val="000000"/>
          <w:sz w:val="27"/>
          <w:szCs w:val="27"/>
          <w:u w:val="single"/>
        </w:rPr>
      </w:pPr>
    </w:p>
    <w:p>
      <w:pPr>
        <w:spacing w:line="400" w:lineRule="exact"/>
        <w:jc w:val="center"/>
        <w:rPr>
          <w:rFonts w:hint="eastAsia" w:ascii="黑体" w:eastAsia="黑体"/>
          <w:color w:val="auto"/>
          <w:sz w:val="27"/>
          <w:szCs w:val="27"/>
          <w:highlight w:val="white"/>
        </w:rPr>
      </w:pPr>
      <w:r>
        <w:rPr>
          <w:rFonts w:hint="eastAsia" w:ascii="黑体" w:eastAsia="黑体"/>
          <w:color w:val="auto"/>
          <w:sz w:val="27"/>
          <w:szCs w:val="27"/>
          <w:highlight w:val="white"/>
          <w:lang w:eastAsia="zh-CN"/>
        </w:rPr>
        <w:t>大石桥市2024年第一批中央水库移民后期扶持资金项目</w:t>
      </w:r>
      <w:r>
        <w:rPr>
          <w:rFonts w:hint="eastAsia" w:ascii="黑体" w:eastAsia="黑体"/>
          <w:color w:val="auto"/>
          <w:sz w:val="27"/>
          <w:szCs w:val="27"/>
          <w:highlight w:val="white"/>
        </w:rPr>
        <w:t>（</w:t>
      </w:r>
      <w:r>
        <w:rPr>
          <w:rFonts w:hint="eastAsia" w:ascii="仿宋_GB2312" w:eastAsia="仿宋_GB2312"/>
          <w:color w:val="auto"/>
          <w:sz w:val="27"/>
          <w:szCs w:val="27"/>
          <w:highlight w:val="white"/>
        </w:rPr>
        <w:t>项目名称</w:t>
      </w:r>
      <w:r>
        <w:rPr>
          <w:rFonts w:hint="eastAsia" w:ascii="黑体" w:eastAsia="黑体"/>
          <w:color w:val="auto"/>
          <w:sz w:val="27"/>
          <w:szCs w:val="27"/>
          <w:highlight w:val="white"/>
        </w:rPr>
        <w:t>）</w:t>
      </w:r>
    </w:p>
    <w:p>
      <w:pPr>
        <w:spacing w:line="400" w:lineRule="exact"/>
        <w:jc w:val="center"/>
        <w:rPr>
          <w:rFonts w:ascii="黑体" w:eastAsia="黑体"/>
          <w:color w:val="auto"/>
          <w:sz w:val="27"/>
          <w:szCs w:val="27"/>
        </w:rPr>
      </w:pPr>
      <w:r>
        <w:rPr>
          <w:rFonts w:hint="eastAsia" w:ascii="黑体" w:eastAsia="黑体"/>
          <w:color w:val="auto"/>
          <w:sz w:val="27"/>
          <w:szCs w:val="27"/>
          <w:highlight w:val="white"/>
          <w:lang w:eastAsia="zh-CN"/>
        </w:rPr>
        <w:t>大石桥市2024年第一批中央水库移民后期扶持资金项目三标段</w:t>
      </w:r>
      <w:r>
        <w:rPr>
          <w:rFonts w:hint="eastAsia" w:ascii="黑体" w:eastAsia="黑体"/>
          <w:color w:val="auto"/>
          <w:sz w:val="27"/>
          <w:szCs w:val="27"/>
          <w:highlight w:val="white"/>
        </w:rPr>
        <w:t>（</w:t>
      </w:r>
      <w:r>
        <w:rPr>
          <w:rFonts w:hint="eastAsia" w:ascii="仿宋_GB2312" w:eastAsia="仿宋_GB2312"/>
          <w:color w:val="auto"/>
          <w:sz w:val="27"/>
          <w:szCs w:val="27"/>
          <w:highlight w:val="white"/>
        </w:rPr>
        <w:t>标段名称</w:t>
      </w:r>
      <w:r>
        <w:rPr>
          <w:rFonts w:hint="eastAsia" w:ascii="黑体" w:eastAsia="黑体"/>
          <w:color w:val="auto"/>
          <w:sz w:val="27"/>
          <w:szCs w:val="27"/>
          <w:highlight w:val="white"/>
        </w:rPr>
        <w:t xml:space="preserve">） </w:t>
      </w:r>
    </w:p>
    <w:p>
      <w:pPr>
        <w:spacing w:line="400" w:lineRule="exact"/>
        <w:rPr>
          <w:color w:val="auto"/>
          <w:sz w:val="27"/>
          <w:szCs w:val="27"/>
        </w:rPr>
      </w:pPr>
    </w:p>
    <w:p>
      <w:pPr>
        <w:spacing w:line="400" w:lineRule="exact"/>
        <w:rPr>
          <w:color w:val="auto"/>
          <w:sz w:val="27"/>
          <w:szCs w:val="27"/>
        </w:rPr>
      </w:pPr>
    </w:p>
    <w:p>
      <w:pPr>
        <w:spacing w:line="400" w:lineRule="exact"/>
        <w:jc w:val="center"/>
        <w:rPr>
          <w:rFonts w:ascii="黑体" w:eastAsia="黑体"/>
          <w:color w:val="auto"/>
          <w:sz w:val="42"/>
          <w:szCs w:val="42"/>
        </w:rPr>
      </w:pPr>
      <w:r>
        <w:rPr>
          <w:rFonts w:hint="eastAsia" w:ascii="黑体" w:eastAsia="黑体"/>
          <w:color w:val="auto"/>
          <w:sz w:val="42"/>
          <w:szCs w:val="42"/>
          <w:highlight w:val="white"/>
        </w:rPr>
        <w:t>招 标 文 件</w:t>
      </w:r>
    </w:p>
    <w:p>
      <w:pPr>
        <w:spacing w:line="400" w:lineRule="exact"/>
        <w:rPr>
          <w:color w:val="auto"/>
          <w:sz w:val="20"/>
          <w:szCs w:val="20"/>
        </w:rPr>
      </w:pPr>
    </w:p>
    <w:p>
      <w:pPr>
        <w:spacing w:line="400" w:lineRule="exact"/>
        <w:jc w:val="center"/>
        <w:rPr>
          <w:color w:val="auto"/>
          <w:sz w:val="27"/>
          <w:szCs w:val="27"/>
          <w:highlight w:val="none"/>
        </w:rPr>
      </w:pPr>
      <w:r>
        <w:rPr>
          <w:rFonts w:hint="eastAsia"/>
          <w:color w:val="auto"/>
          <w:sz w:val="27"/>
          <w:szCs w:val="27"/>
          <w:highlight w:val="none"/>
        </w:rPr>
        <w:t>(</w:t>
      </w:r>
      <w:r>
        <w:rPr>
          <w:rFonts w:hint="eastAsia"/>
          <w:color w:val="auto"/>
          <w:sz w:val="27"/>
          <w:szCs w:val="27"/>
          <w:highlight w:val="none"/>
          <w:lang w:eastAsia="zh-CN"/>
        </w:rPr>
        <w:t>合同</w:t>
      </w:r>
      <w:r>
        <w:rPr>
          <w:rFonts w:hint="eastAsia"/>
          <w:color w:val="auto"/>
          <w:sz w:val="27"/>
          <w:szCs w:val="27"/>
          <w:highlight w:val="none"/>
        </w:rPr>
        <w:t>编号:</w:t>
      </w:r>
      <w:r>
        <w:rPr>
          <w:rFonts w:hint="eastAsia"/>
          <w:color w:val="auto"/>
          <w:sz w:val="27"/>
          <w:szCs w:val="27"/>
          <w:highlight w:val="none"/>
          <w:lang w:val="en-US" w:eastAsia="zh-CN"/>
        </w:rPr>
        <w:t xml:space="preserve">DSQ-DYPZYYM-2024-03 </w:t>
      </w:r>
      <w:r>
        <w:rPr>
          <w:rFonts w:hint="eastAsia"/>
          <w:color w:val="auto"/>
          <w:sz w:val="27"/>
          <w:szCs w:val="27"/>
          <w:highlight w:val="none"/>
        </w:rPr>
        <w:t>)</w:t>
      </w: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rPr>
          <w:color w:val="auto"/>
          <w:sz w:val="20"/>
          <w:szCs w:val="20"/>
        </w:rPr>
      </w:pPr>
    </w:p>
    <w:p>
      <w:pPr>
        <w:spacing w:line="400" w:lineRule="exact"/>
        <w:jc w:val="center"/>
        <w:rPr>
          <w:rFonts w:ascii="黑体" w:eastAsia="黑体"/>
          <w:color w:val="auto"/>
          <w:sz w:val="27"/>
          <w:szCs w:val="27"/>
        </w:rPr>
      </w:pPr>
      <w:r>
        <w:rPr>
          <w:rFonts w:hint="eastAsia" w:ascii="黑体" w:eastAsia="黑体"/>
          <w:color w:val="auto"/>
          <w:sz w:val="27"/>
          <w:szCs w:val="27"/>
          <w:highlight w:val="white"/>
        </w:rPr>
        <w:t>招标人：</w:t>
      </w:r>
      <w:r>
        <w:rPr>
          <w:rFonts w:hint="eastAsia" w:ascii="黑体" w:eastAsia="黑体"/>
          <w:color w:val="auto"/>
          <w:sz w:val="27"/>
          <w:szCs w:val="27"/>
          <w:highlight w:val="white"/>
          <w:lang w:eastAsia="zh-CN"/>
        </w:rPr>
        <w:t>大石桥市水利事务中心</w:t>
      </w:r>
      <w:r>
        <w:rPr>
          <w:rFonts w:hint="eastAsia" w:ascii="黑体" w:eastAsia="黑体"/>
          <w:color w:val="auto"/>
          <w:sz w:val="27"/>
          <w:szCs w:val="27"/>
          <w:highlight w:val="white"/>
        </w:rPr>
        <w:t>（盖单位章）</w:t>
      </w:r>
    </w:p>
    <w:p>
      <w:pPr>
        <w:spacing w:line="400" w:lineRule="exact"/>
        <w:jc w:val="center"/>
        <w:rPr>
          <w:rFonts w:hint="default" w:ascii="黑体" w:eastAsia="黑体"/>
          <w:color w:val="auto"/>
          <w:sz w:val="27"/>
          <w:szCs w:val="27"/>
          <w:highlight w:val="none"/>
          <w:lang w:val="en-US" w:eastAsia="zh-CN"/>
        </w:rPr>
      </w:pPr>
      <w:r>
        <w:rPr>
          <w:rFonts w:hint="eastAsia" w:ascii="黑体" w:eastAsia="黑体"/>
          <w:color w:val="auto"/>
          <w:sz w:val="27"/>
          <w:szCs w:val="27"/>
          <w:highlight w:val="none"/>
          <w:lang w:eastAsia="zh-CN"/>
        </w:rPr>
        <w:t>202</w:t>
      </w:r>
      <w:r>
        <w:rPr>
          <w:rFonts w:hint="eastAsia" w:ascii="黑体" w:eastAsia="黑体"/>
          <w:color w:val="auto"/>
          <w:sz w:val="27"/>
          <w:szCs w:val="27"/>
          <w:highlight w:val="none"/>
          <w:lang w:val="en-US" w:eastAsia="zh-CN"/>
        </w:rPr>
        <w:t>4年  月  日</w:t>
      </w:r>
    </w:p>
    <w:p>
      <w:pPr>
        <w:spacing w:line="400" w:lineRule="exact"/>
        <w:ind w:firstLine="2025" w:firstLineChars="750"/>
        <w:rPr>
          <w:rFonts w:ascii="黑体" w:eastAsia="黑体"/>
          <w:color w:val="auto"/>
          <w:sz w:val="27"/>
          <w:szCs w:val="27"/>
        </w:rPr>
      </w:pPr>
    </w:p>
    <w:p>
      <w:pPr>
        <w:spacing w:line="400" w:lineRule="exact"/>
        <w:ind w:firstLine="2025" w:firstLineChars="750"/>
        <w:rPr>
          <w:rFonts w:ascii="黑体" w:eastAsia="黑体"/>
          <w:color w:val="000000"/>
          <w:sz w:val="27"/>
          <w:szCs w:val="27"/>
        </w:rPr>
      </w:pPr>
    </w:p>
    <w:p>
      <w:pPr>
        <w:pStyle w:val="26"/>
        <w:tabs>
          <w:tab w:val="left" w:pos="3990"/>
          <w:tab w:val="center" w:pos="4535"/>
        </w:tabs>
        <w:spacing w:line="400" w:lineRule="exact"/>
        <w:rPr>
          <w:color w:val="000000"/>
          <w:sz w:val="23"/>
          <w:szCs w:val="23"/>
        </w:rPr>
      </w:pPr>
      <w:r>
        <w:rPr>
          <w:color w:val="000000"/>
          <w:sz w:val="23"/>
          <w:szCs w:val="23"/>
          <w:highlight w:val="white"/>
        </w:rPr>
        <w:tab/>
      </w:r>
    </w:p>
    <w:p>
      <w:pPr>
        <w:rPr>
          <w:highlight w:val="cyan"/>
        </w:rPr>
      </w:pPr>
      <w:bookmarkStart w:id="2" w:name="EB2deba7ff2b58457faaf5bdb472763dc0"/>
      <w:bookmarkEnd w:id="2"/>
    </w:p>
    <w:p>
      <w:pPr>
        <w:pStyle w:val="2"/>
        <w:spacing w:before="120" w:after="120" w:line="400" w:lineRule="exact"/>
        <w:jc w:val="center"/>
      </w:pPr>
      <w:r>
        <w:rPr>
          <w:highlight w:val="white"/>
        </w:rPr>
        <w:br w:type="page"/>
      </w:r>
      <w:bookmarkStart w:id="3" w:name="_Toc256000000"/>
      <w:r>
        <w:rPr>
          <w:rFonts w:hint="eastAsia" w:ascii="黑体" w:hAnsi="黑体" w:eastAsia="黑体"/>
          <w:b w:val="0"/>
          <w:bCs w:val="0"/>
          <w:color w:val="000000"/>
          <w:sz w:val="31"/>
          <w:szCs w:val="31"/>
          <w:highlight w:val="white"/>
        </w:rPr>
        <w:t>目录</w:t>
      </w:r>
      <w:bookmarkEnd w:id="3"/>
    </w:p>
    <w:p>
      <w:pPr>
        <w:pStyle w:val="26"/>
        <w:tabs>
          <w:tab w:val="right" w:leader="dot" w:pos="8302"/>
        </w:tabs>
        <w:rPr>
          <w:sz w:val="22"/>
        </w:rPr>
      </w:pPr>
      <w:r>
        <w:fldChar w:fldCharType="begin"/>
      </w:r>
      <w:r>
        <w:rPr>
          <w:highlight w:val="white"/>
        </w:rPr>
        <w:instrText xml:space="preserve"> </w:instrText>
      </w:r>
      <w:r>
        <w:rPr>
          <w:rFonts w:hint="eastAsia"/>
          <w:highlight w:val="white"/>
        </w:rPr>
        <w:instrText xml:space="preserve">TOC \o "1-3" \h \z \u</w:instrText>
      </w:r>
      <w:r>
        <w:rPr>
          <w:highlight w:val="white"/>
        </w:rPr>
        <w:instrText xml:space="preserve"> </w:instrText>
      </w:r>
      <w:r>
        <w:fldChar w:fldCharType="separate"/>
      </w:r>
      <w:r>
        <w:fldChar w:fldCharType="begin"/>
      </w:r>
      <w:r>
        <w:instrText xml:space="preserve"> HYPERLINK \l "_Toc256000000" </w:instrText>
      </w:r>
      <w:r>
        <w:fldChar w:fldCharType="separate"/>
      </w:r>
      <w:r>
        <w:rPr>
          <w:rStyle w:val="43"/>
          <w:rFonts w:hint="eastAsia" w:ascii="黑体" w:hAnsi="黑体"/>
          <w:highlight w:val="white"/>
        </w:rPr>
        <w:t>目录</w:t>
      </w:r>
      <w:r>
        <w:rPr>
          <w:rStyle w:val="43"/>
        </w:rPr>
        <w:tab/>
      </w:r>
      <w:r>
        <w:fldChar w:fldCharType="begin"/>
      </w:r>
      <w:r>
        <w:rPr>
          <w:rStyle w:val="43"/>
        </w:rPr>
        <w:instrText xml:space="preserve"> PAGEREF _Toc256000000 \h </w:instrText>
      </w:r>
      <w:r>
        <w:fldChar w:fldCharType="separate"/>
      </w:r>
      <w:r>
        <w:rPr>
          <w:rStyle w:val="43"/>
        </w:rPr>
        <w:t>2</w:t>
      </w:r>
      <w:r>
        <w:fldChar w:fldCharType="end"/>
      </w:r>
      <w:r>
        <w:fldChar w:fldCharType="end"/>
      </w:r>
    </w:p>
    <w:p>
      <w:pPr>
        <w:pStyle w:val="26"/>
        <w:tabs>
          <w:tab w:val="right" w:leader="dot" w:pos="8302"/>
        </w:tabs>
        <w:rPr>
          <w:sz w:val="22"/>
        </w:rPr>
      </w:pPr>
      <w:r>
        <w:fldChar w:fldCharType="begin"/>
      </w:r>
      <w:r>
        <w:instrText xml:space="preserve"> HYPERLINK \l "_Toc256000001" </w:instrText>
      </w:r>
      <w:r>
        <w:fldChar w:fldCharType="separate"/>
      </w:r>
      <w:r>
        <w:rPr>
          <w:rStyle w:val="43"/>
          <w:rFonts w:hint="eastAsia" w:ascii="宋体" w:hAnsi="宋体"/>
          <w:highlight w:val="white"/>
        </w:rPr>
        <w:t>第 一 卷</w:t>
      </w:r>
      <w:r>
        <w:rPr>
          <w:rStyle w:val="43"/>
        </w:rPr>
        <w:tab/>
      </w:r>
      <w:r>
        <w:fldChar w:fldCharType="begin"/>
      </w:r>
      <w:r>
        <w:rPr>
          <w:rStyle w:val="43"/>
        </w:rPr>
        <w:instrText xml:space="preserve"> PAGEREF _Toc256000001 \h </w:instrText>
      </w:r>
      <w:r>
        <w:fldChar w:fldCharType="separate"/>
      </w:r>
      <w:r>
        <w:rPr>
          <w:rStyle w:val="43"/>
        </w:rPr>
        <w:t>6</w:t>
      </w:r>
      <w:r>
        <w:fldChar w:fldCharType="end"/>
      </w:r>
      <w:r>
        <w:fldChar w:fldCharType="end"/>
      </w:r>
    </w:p>
    <w:p>
      <w:pPr>
        <w:pStyle w:val="26"/>
        <w:tabs>
          <w:tab w:val="left" w:pos="840"/>
          <w:tab w:val="right" w:leader="dot" w:pos="8302"/>
        </w:tabs>
        <w:rPr>
          <w:sz w:val="22"/>
        </w:rPr>
      </w:pPr>
      <w:r>
        <w:fldChar w:fldCharType="begin"/>
      </w:r>
      <w:r>
        <w:instrText xml:space="preserve"> HYPERLINK \l "_Toc256000002" </w:instrText>
      </w:r>
      <w:r>
        <w:fldChar w:fldCharType="separate"/>
      </w:r>
      <w:r>
        <w:rPr>
          <w:rStyle w:val="43"/>
        </w:rPr>
        <w:t>第一章</w:t>
      </w:r>
      <w:r>
        <w:rPr>
          <w:rStyle w:val="43"/>
          <w:rFonts w:ascii="Calibri" w:hAnsi="Calibri"/>
          <w:sz w:val="22"/>
        </w:rPr>
        <w:tab/>
      </w:r>
      <w:r>
        <w:rPr>
          <w:rStyle w:val="43"/>
          <w:rFonts w:hint="eastAsia" w:ascii="黑体" w:hAnsi="黑体"/>
          <w:highlight w:val="white"/>
        </w:rPr>
        <w:t>招标公告（适用于未进行资格预审）</w:t>
      </w:r>
      <w:r>
        <w:rPr>
          <w:rStyle w:val="43"/>
        </w:rPr>
        <w:tab/>
      </w:r>
      <w:r>
        <w:fldChar w:fldCharType="begin"/>
      </w:r>
      <w:r>
        <w:rPr>
          <w:rStyle w:val="43"/>
        </w:rPr>
        <w:instrText xml:space="preserve"> PAGEREF _Toc256000002 \h </w:instrText>
      </w:r>
      <w:r>
        <w:fldChar w:fldCharType="separate"/>
      </w:r>
      <w:r>
        <w:rPr>
          <w:rStyle w:val="43"/>
        </w:rPr>
        <w:t>7</w:t>
      </w:r>
      <w:r>
        <w:fldChar w:fldCharType="end"/>
      </w:r>
      <w:r>
        <w:fldChar w:fldCharType="end"/>
      </w:r>
    </w:p>
    <w:p>
      <w:pPr>
        <w:pStyle w:val="26"/>
        <w:tabs>
          <w:tab w:val="right" w:leader="dot" w:pos="8302"/>
        </w:tabs>
        <w:rPr>
          <w:sz w:val="22"/>
        </w:rPr>
      </w:pPr>
      <w:r>
        <w:fldChar w:fldCharType="begin"/>
      </w:r>
      <w:r>
        <w:instrText xml:space="preserve"> HYPERLINK \l "_Toc256000003" </w:instrText>
      </w:r>
      <w:r>
        <w:fldChar w:fldCharType="separate"/>
      </w:r>
      <w:r>
        <w:rPr>
          <w:rStyle w:val="43"/>
          <w:rFonts w:hint="eastAsia" w:ascii="宋体" w:hAnsi="宋体" w:eastAsia="宋体" w:cs="宋体"/>
        </w:rPr>
        <w:t>招标公告</w:t>
      </w:r>
      <w:r>
        <w:rPr>
          <w:rStyle w:val="43"/>
        </w:rPr>
        <w:tab/>
      </w:r>
      <w:r>
        <w:fldChar w:fldCharType="begin"/>
      </w:r>
      <w:r>
        <w:rPr>
          <w:rStyle w:val="43"/>
        </w:rPr>
        <w:instrText xml:space="preserve"> PAGEREF _Toc256000003 \h </w:instrText>
      </w:r>
      <w:r>
        <w:fldChar w:fldCharType="separate"/>
      </w:r>
      <w:r>
        <w:rPr>
          <w:rStyle w:val="43"/>
        </w:rPr>
        <w:t>7</w:t>
      </w:r>
      <w:r>
        <w:fldChar w:fldCharType="end"/>
      </w:r>
      <w:r>
        <w:fldChar w:fldCharType="end"/>
      </w:r>
    </w:p>
    <w:p>
      <w:pPr>
        <w:pStyle w:val="26"/>
        <w:tabs>
          <w:tab w:val="right" w:leader="dot" w:pos="8302"/>
        </w:tabs>
        <w:rPr>
          <w:sz w:val="22"/>
        </w:rPr>
      </w:pPr>
      <w:r>
        <w:fldChar w:fldCharType="begin"/>
      </w:r>
      <w:r>
        <w:instrText xml:space="preserve"> HYPERLINK \l "_Toc256000004" </w:instrText>
      </w:r>
      <w:r>
        <w:fldChar w:fldCharType="separate"/>
      </w:r>
      <w:r>
        <w:rPr>
          <w:rStyle w:val="43"/>
          <w:rFonts w:hint="eastAsia" w:ascii="黑体" w:hAnsi="黑体"/>
          <w:highlight w:val="white"/>
        </w:rPr>
        <w:t>第二章 投标人须知</w:t>
      </w:r>
      <w:r>
        <w:rPr>
          <w:rStyle w:val="43"/>
        </w:rPr>
        <w:tab/>
      </w:r>
      <w:r>
        <w:fldChar w:fldCharType="begin"/>
      </w:r>
      <w:r>
        <w:rPr>
          <w:rStyle w:val="43"/>
        </w:rPr>
        <w:instrText xml:space="preserve"> PAGEREF _Toc256000004 \h </w:instrText>
      </w:r>
      <w:r>
        <w:fldChar w:fldCharType="separate"/>
      </w:r>
      <w:r>
        <w:rPr>
          <w:rStyle w:val="43"/>
        </w:rPr>
        <w:t>10</w:t>
      </w:r>
      <w:r>
        <w:fldChar w:fldCharType="end"/>
      </w:r>
      <w:r>
        <w:fldChar w:fldCharType="end"/>
      </w:r>
    </w:p>
    <w:p>
      <w:pPr>
        <w:pStyle w:val="30"/>
        <w:tabs>
          <w:tab w:val="right" w:leader="dot" w:pos="8302"/>
        </w:tabs>
        <w:rPr>
          <w:sz w:val="22"/>
        </w:rPr>
      </w:pPr>
      <w:r>
        <w:fldChar w:fldCharType="begin"/>
      </w:r>
      <w:r>
        <w:instrText xml:space="preserve"> HYPERLINK \l "_Toc256000005" </w:instrText>
      </w:r>
      <w:r>
        <w:fldChar w:fldCharType="separate"/>
      </w:r>
      <w:r>
        <w:rPr>
          <w:rStyle w:val="43"/>
          <w:rFonts w:hint="eastAsia"/>
          <w:highlight w:val="white"/>
        </w:rPr>
        <w:t>1. 总则</w:t>
      </w:r>
      <w:r>
        <w:rPr>
          <w:rStyle w:val="43"/>
        </w:rPr>
        <w:tab/>
      </w:r>
      <w:r>
        <w:fldChar w:fldCharType="begin"/>
      </w:r>
      <w:r>
        <w:rPr>
          <w:rStyle w:val="43"/>
        </w:rPr>
        <w:instrText xml:space="preserve"> PAGEREF _Toc256000005 \h </w:instrText>
      </w:r>
      <w:r>
        <w:fldChar w:fldCharType="separate"/>
      </w:r>
      <w:r>
        <w:rPr>
          <w:rStyle w:val="43"/>
        </w:rPr>
        <w:t>15</w:t>
      </w:r>
      <w:r>
        <w:fldChar w:fldCharType="end"/>
      </w:r>
      <w:r>
        <w:fldChar w:fldCharType="end"/>
      </w:r>
    </w:p>
    <w:p>
      <w:pPr>
        <w:pStyle w:val="30"/>
        <w:tabs>
          <w:tab w:val="right" w:leader="dot" w:pos="8302"/>
        </w:tabs>
        <w:rPr>
          <w:sz w:val="22"/>
        </w:rPr>
      </w:pPr>
      <w:r>
        <w:fldChar w:fldCharType="begin"/>
      </w:r>
      <w:r>
        <w:instrText xml:space="preserve"> HYPERLINK \l "_Toc256000006" </w:instrText>
      </w:r>
      <w:r>
        <w:fldChar w:fldCharType="separate"/>
      </w:r>
      <w:r>
        <w:rPr>
          <w:rStyle w:val="43"/>
          <w:rFonts w:hint="eastAsia"/>
          <w:highlight w:val="white"/>
        </w:rPr>
        <w:t>2. 招标文件</w:t>
      </w:r>
      <w:r>
        <w:rPr>
          <w:rStyle w:val="43"/>
        </w:rPr>
        <w:tab/>
      </w:r>
      <w:r>
        <w:fldChar w:fldCharType="begin"/>
      </w:r>
      <w:r>
        <w:rPr>
          <w:rStyle w:val="43"/>
        </w:rPr>
        <w:instrText xml:space="preserve"> PAGEREF _Toc256000006 \h </w:instrText>
      </w:r>
      <w:r>
        <w:fldChar w:fldCharType="separate"/>
      </w:r>
      <w:r>
        <w:rPr>
          <w:rStyle w:val="43"/>
        </w:rPr>
        <w:t>16</w:t>
      </w:r>
      <w:r>
        <w:fldChar w:fldCharType="end"/>
      </w:r>
      <w:r>
        <w:fldChar w:fldCharType="end"/>
      </w:r>
    </w:p>
    <w:p>
      <w:pPr>
        <w:pStyle w:val="30"/>
        <w:tabs>
          <w:tab w:val="right" w:leader="dot" w:pos="8302"/>
        </w:tabs>
        <w:rPr>
          <w:sz w:val="22"/>
        </w:rPr>
      </w:pPr>
      <w:r>
        <w:fldChar w:fldCharType="begin"/>
      </w:r>
      <w:r>
        <w:instrText xml:space="preserve"> HYPERLINK \l "_Toc256000007" </w:instrText>
      </w:r>
      <w:r>
        <w:fldChar w:fldCharType="separate"/>
      </w:r>
      <w:r>
        <w:rPr>
          <w:rStyle w:val="43"/>
          <w:rFonts w:hint="eastAsia"/>
          <w:highlight w:val="white"/>
        </w:rPr>
        <w:t>3. 投标文件</w:t>
      </w:r>
      <w:r>
        <w:rPr>
          <w:rStyle w:val="43"/>
        </w:rPr>
        <w:tab/>
      </w:r>
      <w:r>
        <w:fldChar w:fldCharType="begin"/>
      </w:r>
      <w:r>
        <w:rPr>
          <w:rStyle w:val="43"/>
        </w:rPr>
        <w:instrText xml:space="preserve"> PAGEREF _Toc256000007 \h </w:instrText>
      </w:r>
      <w:r>
        <w:fldChar w:fldCharType="separate"/>
      </w:r>
      <w:r>
        <w:rPr>
          <w:rStyle w:val="43"/>
        </w:rPr>
        <w:t>17</w:t>
      </w:r>
      <w:r>
        <w:fldChar w:fldCharType="end"/>
      </w:r>
      <w:r>
        <w:fldChar w:fldCharType="end"/>
      </w:r>
    </w:p>
    <w:p>
      <w:pPr>
        <w:pStyle w:val="30"/>
        <w:tabs>
          <w:tab w:val="right" w:leader="dot" w:pos="8302"/>
        </w:tabs>
        <w:rPr>
          <w:sz w:val="22"/>
        </w:rPr>
      </w:pPr>
      <w:r>
        <w:fldChar w:fldCharType="begin"/>
      </w:r>
      <w:r>
        <w:instrText xml:space="preserve"> HYPERLINK \l "_Toc256000008" </w:instrText>
      </w:r>
      <w:r>
        <w:fldChar w:fldCharType="separate"/>
      </w:r>
      <w:r>
        <w:rPr>
          <w:rStyle w:val="43"/>
          <w:rFonts w:hint="eastAsia"/>
          <w:highlight w:val="white"/>
        </w:rPr>
        <w:t>4. 投标</w:t>
      </w:r>
      <w:r>
        <w:rPr>
          <w:rStyle w:val="43"/>
        </w:rPr>
        <w:tab/>
      </w:r>
      <w:r>
        <w:fldChar w:fldCharType="begin"/>
      </w:r>
      <w:r>
        <w:rPr>
          <w:rStyle w:val="43"/>
        </w:rPr>
        <w:instrText xml:space="preserve"> PAGEREF _Toc256000008 \h </w:instrText>
      </w:r>
      <w:r>
        <w:fldChar w:fldCharType="separate"/>
      </w:r>
      <w:r>
        <w:rPr>
          <w:rStyle w:val="43"/>
        </w:rPr>
        <w:t>19</w:t>
      </w:r>
      <w:r>
        <w:fldChar w:fldCharType="end"/>
      </w:r>
      <w:r>
        <w:fldChar w:fldCharType="end"/>
      </w:r>
    </w:p>
    <w:p>
      <w:pPr>
        <w:pStyle w:val="30"/>
        <w:tabs>
          <w:tab w:val="right" w:leader="dot" w:pos="8302"/>
        </w:tabs>
        <w:rPr>
          <w:sz w:val="22"/>
        </w:rPr>
      </w:pPr>
      <w:r>
        <w:fldChar w:fldCharType="begin"/>
      </w:r>
      <w:r>
        <w:instrText xml:space="preserve"> HYPERLINK \l "_Toc256000009" </w:instrText>
      </w:r>
      <w:r>
        <w:fldChar w:fldCharType="separate"/>
      </w:r>
      <w:r>
        <w:rPr>
          <w:rStyle w:val="43"/>
          <w:rFonts w:hint="eastAsia"/>
          <w:highlight w:val="white"/>
        </w:rPr>
        <w:t>5. 开标</w:t>
      </w:r>
      <w:r>
        <w:rPr>
          <w:rStyle w:val="43"/>
        </w:rPr>
        <w:tab/>
      </w:r>
      <w:r>
        <w:fldChar w:fldCharType="begin"/>
      </w:r>
      <w:r>
        <w:rPr>
          <w:rStyle w:val="43"/>
        </w:rPr>
        <w:instrText xml:space="preserve"> PAGEREF _Toc256000009 \h </w:instrText>
      </w:r>
      <w:r>
        <w:fldChar w:fldCharType="separate"/>
      </w:r>
      <w:r>
        <w:rPr>
          <w:rStyle w:val="43"/>
        </w:rPr>
        <w:t>19</w:t>
      </w:r>
      <w:r>
        <w:fldChar w:fldCharType="end"/>
      </w:r>
      <w:r>
        <w:fldChar w:fldCharType="end"/>
      </w:r>
    </w:p>
    <w:p>
      <w:pPr>
        <w:pStyle w:val="30"/>
        <w:tabs>
          <w:tab w:val="right" w:leader="dot" w:pos="8302"/>
        </w:tabs>
        <w:rPr>
          <w:sz w:val="22"/>
        </w:rPr>
      </w:pPr>
      <w:r>
        <w:fldChar w:fldCharType="begin"/>
      </w:r>
      <w:r>
        <w:instrText xml:space="preserve"> HYPERLINK \l "_Toc256000010" </w:instrText>
      </w:r>
      <w:r>
        <w:fldChar w:fldCharType="separate"/>
      </w:r>
      <w:r>
        <w:rPr>
          <w:rStyle w:val="43"/>
          <w:rFonts w:hint="eastAsia"/>
          <w:highlight w:val="white"/>
        </w:rPr>
        <w:t>6. 评标</w:t>
      </w:r>
      <w:r>
        <w:rPr>
          <w:rStyle w:val="43"/>
        </w:rPr>
        <w:tab/>
      </w:r>
      <w:r>
        <w:fldChar w:fldCharType="begin"/>
      </w:r>
      <w:r>
        <w:rPr>
          <w:rStyle w:val="43"/>
        </w:rPr>
        <w:instrText xml:space="preserve"> PAGEREF _Toc256000010 \h </w:instrText>
      </w:r>
      <w:r>
        <w:fldChar w:fldCharType="separate"/>
      </w:r>
      <w:r>
        <w:rPr>
          <w:rStyle w:val="43"/>
        </w:rPr>
        <w:t>20</w:t>
      </w:r>
      <w:r>
        <w:fldChar w:fldCharType="end"/>
      </w:r>
      <w:r>
        <w:fldChar w:fldCharType="end"/>
      </w:r>
    </w:p>
    <w:p>
      <w:pPr>
        <w:pStyle w:val="30"/>
        <w:tabs>
          <w:tab w:val="right" w:leader="dot" w:pos="8302"/>
        </w:tabs>
        <w:rPr>
          <w:sz w:val="22"/>
        </w:rPr>
      </w:pPr>
      <w:r>
        <w:fldChar w:fldCharType="begin"/>
      </w:r>
      <w:r>
        <w:instrText xml:space="preserve"> HYPERLINK \l "_Toc256000011" </w:instrText>
      </w:r>
      <w:r>
        <w:fldChar w:fldCharType="separate"/>
      </w:r>
      <w:r>
        <w:rPr>
          <w:rStyle w:val="43"/>
          <w:rFonts w:hint="eastAsia"/>
          <w:highlight w:val="white"/>
        </w:rPr>
        <w:t>7. 合同授予</w:t>
      </w:r>
      <w:r>
        <w:rPr>
          <w:rStyle w:val="43"/>
        </w:rPr>
        <w:tab/>
      </w:r>
      <w:r>
        <w:fldChar w:fldCharType="begin"/>
      </w:r>
      <w:r>
        <w:rPr>
          <w:rStyle w:val="43"/>
        </w:rPr>
        <w:instrText xml:space="preserve"> PAGEREF _Toc256000011 \h </w:instrText>
      </w:r>
      <w:r>
        <w:fldChar w:fldCharType="separate"/>
      </w:r>
      <w:r>
        <w:rPr>
          <w:rStyle w:val="43"/>
        </w:rPr>
        <w:t>20</w:t>
      </w:r>
      <w:r>
        <w:fldChar w:fldCharType="end"/>
      </w:r>
      <w:r>
        <w:fldChar w:fldCharType="end"/>
      </w:r>
    </w:p>
    <w:p>
      <w:pPr>
        <w:pStyle w:val="30"/>
        <w:tabs>
          <w:tab w:val="right" w:leader="dot" w:pos="8302"/>
        </w:tabs>
        <w:rPr>
          <w:sz w:val="22"/>
        </w:rPr>
      </w:pPr>
      <w:r>
        <w:fldChar w:fldCharType="begin"/>
      </w:r>
      <w:r>
        <w:instrText xml:space="preserve"> HYPERLINK \l "_Toc256000012" </w:instrText>
      </w:r>
      <w:r>
        <w:fldChar w:fldCharType="separate"/>
      </w:r>
      <w:r>
        <w:rPr>
          <w:rStyle w:val="43"/>
          <w:rFonts w:hint="eastAsia"/>
          <w:highlight w:val="white"/>
        </w:rPr>
        <w:t>8. 重新招标或经批准不招标</w:t>
      </w:r>
      <w:r>
        <w:rPr>
          <w:rStyle w:val="43"/>
        </w:rPr>
        <w:tab/>
      </w:r>
      <w:r>
        <w:fldChar w:fldCharType="begin"/>
      </w:r>
      <w:r>
        <w:rPr>
          <w:rStyle w:val="43"/>
        </w:rPr>
        <w:instrText xml:space="preserve"> PAGEREF _Toc256000012 \h </w:instrText>
      </w:r>
      <w:r>
        <w:fldChar w:fldCharType="separate"/>
      </w:r>
      <w:r>
        <w:rPr>
          <w:rStyle w:val="43"/>
        </w:rPr>
        <w:t>21</w:t>
      </w:r>
      <w:r>
        <w:fldChar w:fldCharType="end"/>
      </w:r>
      <w:r>
        <w:fldChar w:fldCharType="end"/>
      </w:r>
    </w:p>
    <w:p>
      <w:pPr>
        <w:pStyle w:val="30"/>
        <w:tabs>
          <w:tab w:val="right" w:leader="dot" w:pos="8302"/>
        </w:tabs>
        <w:rPr>
          <w:sz w:val="22"/>
        </w:rPr>
      </w:pPr>
      <w:r>
        <w:fldChar w:fldCharType="begin"/>
      </w:r>
      <w:r>
        <w:instrText xml:space="preserve"> HYPERLINK \l "_Toc256000013" </w:instrText>
      </w:r>
      <w:r>
        <w:fldChar w:fldCharType="separate"/>
      </w:r>
      <w:r>
        <w:rPr>
          <w:rStyle w:val="43"/>
          <w:rFonts w:hint="eastAsia"/>
          <w:highlight w:val="white"/>
        </w:rPr>
        <w:t>9. 纪律和监督</w:t>
      </w:r>
      <w:r>
        <w:rPr>
          <w:rStyle w:val="43"/>
        </w:rPr>
        <w:tab/>
      </w:r>
      <w:r>
        <w:fldChar w:fldCharType="begin"/>
      </w:r>
      <w:r>
        <w:rPr>
          <w:rStyle w:val="43"/>
        </w:rPr>
        <w:instrText xml:space="preserve"> PAGEREF _Toc256000013 \h </w:instrText>
      </w:r>
      <w:r>
        <w:fldChar w:fldCharType="separate"/>
      </w:r>
      <w:r>
        <w:rPr>
          <w:rStyle w:val="43"/>
        </w:rPr>
        <w:t>21</w:t>
      </w:r>
      <w:r>
        <w:fldChar w:fldCharType="end"/>
      </w:r>
      <w:r>
        <w:fldChar w:fldCharType="end"/>
      </w:r>
    </w:p>
    <w:p>
      <w:pPr>
        <w:pStyle w:val="30"/>
        <w:tabs>
          <w:tab w:val="right" w:leader="dot" w:pos="8302"/>
        </w:tabs>
        <w:rPr>
          <w:sz w:val="22"/>
        </w:rPr>
      </w:pPr>
      <w:r>
        <w:fldChar w:fldCharType="begin"/>
      </w:r>
      <w:r>
        <w:instrText xml:space="preserve"> HYPERLINK \l "_Toc256000014" </w:instrText>
      </w:r>
      <w:r>
        <w:fldChar w:fldCharType="separate"/>
      </w:r>
      <w:r>
        <w:rPr>
          <w:rStyle w:val="43"/>
          <w:rFonts w:hint="eastAsia"/>
          <w:highlight w:val="white"/>
        </w:rPr>
        <w:t>10需要补充的其他内容</w:t>
      </w:r>
      <w:r>
        <w:rPr>
          <w:rStyle w:val="43"/>
        </w:rPr>
        <w:tab/>
      </w:r>
      <w:r>
        <w:fldChar w:fldCharType="begin"/>
      </w:r>
      <w:r>
        <w:rPr>
          <w:rStyle w:val="43"/>
        </w:rPr>
        <w:instrText xml:space="preserve"> PAGEREF _Toc256000014 \h </w:instrText>
      </w:r>
      <w:r>
        <w:fldChar w:fldCharType="separate"/>
      </w:r>
      <w:r>
        <w:rPr>
          <w:rStyle w:val="43"/>
        </w:rPr>
        <w:t>23</w:t>
      </w:r>
      <w:r>
        <w:fldChar w:fldCharType="end"/>
      </w:r>
      <w:r>
        <w:fldChar w:fldCharType="end"/>
      </w:r>
    </w:p>
    <w:p>
      <w:pPr>
        <w:pStyle w:val="30"/>
        <w:tabs>
          <w:tab w:val="right" w:leader="dot" w:pos="8302"/>
        </w:tabs>
        <w:rPr>
          <w:sz w:val="22"/>
        </w:rPr>
      </w:pPr>
      <w:r>
        <w:fldChar w:fldCharType="begin"/>
      </w:r>
      <w:r>
        <w:instrText xml:space="preserve"> HYPERLINK \l "_Toc256000015" </w:instrText>
      </w:r>
      <w:r>
        <w:fldChar w:fldCharType="separate"/>
      </w:r>
      <w:r>
        <w:rPr>
          <w:rStyle w:val="43"/>
          <w:rFonts w:hint="eastAsia"/>
          <w:highlight w:val="white"/>
        </w:rPr>
        <w:t>附表一：招标文件澄清申请函（格式）</w:t>
      </w:r>
      <w:r>
        <w:rPr>
          <w:rStyle w:val="43"/>
        </w:rPr>
        <w:tab/>
      </w:r>
      <w:r>
        <w:fldChar w:fldCharType="begin"/>
      </w:r>
      <w:r>
        <w:rPr>
          <w:rStyle w:val="43"/>
        </w:rPr>
        <w:instrText xml:space="preserve"> PAGEREF _Toc256000015 \h </w:instrText>
      </w:r>
      <w:r>
        <w:fldChar w:fldCharType="separate"/>
      </w:r>
      <w:r>
        <w:rPr>
          <w:rStyle w:val="43"/>
        </w:rPr>
        <w:t>24</w:t>
      </w:r>
      <w:r>
        <w:fldChar w:fldCharType="end"/>
      </w:r>
      <w:r>
        <w:fldChar w:fldCharType="end"/>
      </w:r>
    </w:p>
    <w:p>
      <w:pPr>
        <w:pStyle w:val="30"/>
        <w:tabs>
          <w:tab w:val="right" w:leader="dot" w:pos="8302"/>
        </w:tabs>
        <w:rPr>
          <w:sz w:val="22"/>
        </w:rPr>
      </w:pPr>
      <w:r>
        <w:fldChar w:fldCharType="begin"/>
      </w:r>
      <w:r>
        <w:instrText xml:space="preserve"> HYPERLINK \l "_Toc256000016" </w:instrText>
      </w:r>
      <w:r>
        <w:fldChar w:fldCharType="separate"/>
      </w:r>
      <w:r>
        <w:rPr>
          <w:rStyle w:val="43"/>
          <w:rFonts w:hint="eastAsia"/>
          <w:highlight w:val="white"/>
        </w:rPr>
        <w:t>附表二：招标文件澄清通知（格式）</w:t>
      </w:r>
      <w:r>
        <w:rPr>
          <w:rStyle w:val="43"/>
        </w:rPr>
        <w:tab/>
      </w:r>
      <w:r>
        <w:fldChar w:fldCharType="begin"/>
      </w:r>
      <w:r>
        <w:rPr>
          <w:rStyle w:val="43"/>
        </w:rPr>
        <w:instrText xml:space="preserve"> PAGEREF _Toc256000016 \h </w:instrText>
      </w:r>
      <w:r>
        <w:fldChar w:fldCharType="separate"/>
      </w:r>
      <w:r>
        <w:rPr>
          <w:rStyle w:val="43"/>
        </w:rPr>
        <w:t>24</w:t>
      </w:r>
      <w:r>
        <w:fldChar w:fldCharType="end"/>
      </w:r>
      <w:r>
        <w:fldChar w:fldCharType="end"/>
      </w:r>
    </w:p>
    <w:p>
      <w:pPr>
        <w:pStyle w:val="30"/>
        <w:tabs>
          <w:tab w:val="right" w:leader="dot" w:pos="8302"/>
        </w:tabs>
        <w:rPr>
          <w:sz w:val="22"/>
        </w:rPr>
      </w:pPr>
      <w:r>
        <w:fldChar w:fldCharType="begin"/>
      </w:r>
      <w:r>
        <w:instrText xml:space="preserve"> HYPERLINK \l "_Toc256000017" </w:instrText>
      </w:r>
      <w:r>
        <w:fldChar w:fldCharType="separate"/>
      </w:r>
      <w:r>
        <w:rPr>
          <w:rStyle w:val="43"/>
          <w:rFonts w:hint="eastAsia"/>
          <w:highlight w:val="white"/>
        </w:rPr>
        <w:t>附表三：招标文件修改通知（格式）</w:t>
      </w:r>
      <w:r>
        <w:rPr>
          <w:rStyle w:val="43"/>
        </w:rPr>
        <w:tab/>
      </w:r>
      <w:r>
        <w:fldChar w:fldCharType="begin"/>
      </w:r>
      <w:r>
        <w:rPr>
          <w:rStyle w:val="43"/>
        </w:rPr>
        <w:instrText xml:space="preserve"> PAGEREF _Toc256000017 \h </w:instrText>
      </w:r>
      <w:r>
        <w:fldChar w:fldCharType="separate"/>
      </w:r>
      <w:r>
        <w:rPr>
          <w:rStyle w:val="43"/>
        </w:rPr>
        <w:t>25</w:t>
      </w:r>
      <w:r>
        <w:fldChar w:fldCharType="end"/>
      </w:r>
      <w:r>
        <w:fldChar w:fldCharType="end"/>
      </w:r>
    </w:p>
    <w:p>
      <w:pPr>
        <w:pStyle w:val="30"/>
        <w:tabs>
          <w:tab w:val="right" w:leader="dot" w:pos="8302"/>
        </w:tabs>
        <w:rPr>
          <w:sz w:val="22"/>
        </w:rPr>
      </w:pPr>
      <w:r>
        <w:fldChar w:fldCharType="begin"/>
      </w:r>
      <w:r>
        <w:instrText xml:space="preserve"> HYPERLINK \l "_Toc256000018" </w:instrText>
      </w:r>
      <w:r>
        <w:fldChar w:fldCharType="separate"/>
      </w:r>
      <w:r>
        <w:rPr>
          <w:rStyle w:val="43"/>
          <w:rFonts w:hint="eastAsia"/>
          <w:highlight w:val="white"/>
        </w:rPr>
        <w:t>附表四：招标文件澄清通知、修改通知确认函（格式）</w:t>
      </w:r>
      <w:r>
        <w:rPr>
          <w:rStyle w:val="43"/>
        </w:rPr>
        <w:tab/>
      </w:r>
      <w:r>
        <w:fldChar w:fldCharType="begin"/>
      </w:r>
      <w:r>
        <w:rPr>
          <w:rStyle w:val="43"/>
        </w:rPr>
        <w:instrText xml:space="preserve"> PAGEREF _Toc256000018 \h </w:instrText>
      </w:r>
      <w:r>
        <w:fldChar w:fldCharType="separate"/>
      </w:r>
      <w:r>
        <w:rPr>
          <w:rStyle w:val="43"/>
        </w:rPr>
        <w:t>26</w:t>
      </w:r>
      <w:r>
        <w:fldChar w:fldCharType="end"/>
      </w:r>
      <w:r>
        <w:fldChar w:fldCharType="end"/>
      </w:r>
    </w:p>
    <w:p>
      <w:pPr>
        <w:pStyle w:val="30"/>
        <w:tabs>
          <w:tab w:val="right" w:leader="dot" w:pos="8302"/>
        </w:tabs>
        <w:rPr>
          <w:sz w:val="22"/>
        </w:rPr>
      </w:pPr>
      <w:r>
        <w:fldChar w:fldCharType="begin"/>
      </w:r>
      <w:r>
        <w:instrText xml:space="preserve"> HYPERLINK \l "_Toc256000019" </w:instrText>
      </w:r>
      <w:r>
        <w:fldChar w:fldCharType="separate"/>
      </w:r>
      <w:r>
        <w:rPr>
          <w:rStyle w:val="43"/>
          <w:rFonts w:hint="eastAsia"/>
          <w:highlight w:val="white"/>
        </w:rPr>
        <w:t>附表五：开标记录表（格式）</w:t>
      </w:r>
      <w:r>
        <w:rPr>
          <w:rStyle w:val="43"/>
        </w:rPr>
        <w:tab/>
      </w:r>
      <w:r>
        <w:fldChar w:fldCharType="begin"/>
      </w:r>
      <w:r>
        <w:rPr>
          <w:rStyle w:val="43"/>
        </w:rPr>
        <w:instrText xml:space="preserve"> PAGEREF _Toc256000019 \h </w:instrText>
      </w:r>
      <w:r>
        <w:fldChar w:fldCharType="separate"/>
      </w:r>
      <w:r>
        <w:rPr>
          <w:rStyle w:val="43"/>
        </w:rPr>
        <w:t>27</w:t>
      </w:r>
      <w:r>
        <w:fldChar w:fldCharType="end"/>
      </w:r>
      <w:r>
        <w:fldChar w:fldCharType="end"/>
      </w:r>
    </w:p>
    <w:p>
      <w:pPr>
        <w:pStyle w:val="30"/>
        <w:tabs>
          <w:tab w:val="right" w:leader="dot" w:pos="8302"/>
        </w:tabs>
        <w:rPr>
          <w:sz w:val="22"/>
        </w:rPr>
      </w:pPr>
      <w:r>
        <w:fldChar w:fldCharType="begin"/>
      </w:r>
      <w:r>
        <w:instrText xml:space="preserve"> HYPERLINK \l "_Toc256000020" </w:instrText>
      </w:r>
      <w:r>
        <w:fldChar w:fldCharType="separate"/>
      </w:r>
      <w:r>
        <w:rPr>
          <w:rStyle w:val="43"/>
          <w:rFonts w:hint="eastAsia"/>
          <w:highlight w:val="white"/>
        </w:rPr>
        <w:t>附表六：中标通知书（格式）</w:t>
      </w:r>
      <w:r>
        <w:rPr>
          <w:rStyle w:val="43"/>
        </w:rPr>
        <w:tab/>
      </w:r>
      <w:r>
        <w:fldChar w:fldCharType="begin"/>
      </w:r>
      <w:r>
        <w:rPr>
          <w:rStyle w:val="43"/>
        </w:rPr>
        <w:instrText xml:space="preserve"> PAGEREF _Toc256000020 \h </w:instrText>
      </w:r>
      <w:r>
        <w:fldChar w:fldCharType="separate"/>
      </w:r>
      <w:r>
        <w:rPr>
          <w:rStyle w:val="43"/>
        </w:rPr>
        <w:t>28</w:t>
      </w:r>
      <w:r>
        <w:fldChar w:fldCharType="end"/>
      </w:r>
      <w:r>
        <w:fldChar w:fldCharType="end"/>
      </w:r>
    </w:p>
    <w:p>
      <w:pPr>
        <w:pStyle w:val="30"/>
        <w:tabs>
          <w:tab w:val="right" w:leader="dot" w:pos="8302"/>
        </w:tabs>
        <w:rPr>
          <w:sz w:val="22"/>
        </w:rPr>
      </w:pPr>
      <w:r>
        <w:fldChar w:fldCharType="begin"/>
      </w:r>
      <w:r>
        <w:instrText xml:space="preserve"> HYPERLINK \l "_Toc256000021" </w:instrText>
      </w:r>
      <w:r>
        <w:fldChar w:fldCharType="separate"/>
      </w:r>
      <w:r>
        <w:rPr>
          <w:rStyle w:val="43"/>
          <w:rFonts w:hint="eastAsia"/>
          <w:highlight w:val="white"/>
        </w:rPr>
        <w:t>附表七：中标结果通知书（格式）</w:t>
      </w:r>
      <w:r>
        <w:rPr>
          <w:rStyle w:val="43"/>
        </w:rPr>
        <w:tab/>
      </w:r>
      <w:r>
        <w:fldChar w:fldCharType="begin"/>
      </w:r>
      <w:r>
        <w:rPr>
          <w:rStyle w:val="43"/>
        </w:rPr>
        <w:instrText xml:space="preserve"> PAGEREF _Toc256000021 \h </w:instrText>
      </w:r>
      <w:r>
        <w:fldChar w:fldCharType="separate"/>
      </w:r>
      <w:r>
        <w:rPr>
          <w:rStyle w:val="43"/>
        </w:rPr>
        <w:t>29</w:t>
      </w:r>
      <w:r>
        <w:fldChar w:fldCharType="end"/>
      </w:r>
      <w:r>
        <w:fldChar w:fldCharType="end"/>
      </w:r>
    </w:p>
    <w:p>
      <w:pPr>
        <w:pStyle w:val="26"/>
        <w:tabs>
          <w:tab w:val="right" w:leader="dot" w:pos="8302"/>
        </w:tabs>
        <w:rPr>
          <w:sz w:val="22"/>
        </w:rPr>
      </w:pPr>
      <w:r>
        <w:fldChar w:fldCharType="begin"/>
      </w:r>
      <w:r>
        <w:instrText xml:space="preserve"> HYPERLINK \l "_Toc256000022" </w:instrText>
      </w:r>
      <w:r>
        <w:fldChar w:fldCharType="separate"/>
      </w:r>
      <w:r>
        <w:rPr>
          <w:rStyle w:val="43"/>
          <w:rFonts w:hint="eastAsia" w:ascii="黑体" w:hAnsi="黑体"/>
          <w:highlight w:val="white"/>
        </w:rPr>
        <w:t>第三章 评标办法（综合评估法）</w:t>
      </w:r>
      <w:r>
        <w:rPr>
          <w:rStyle w:val="43"/>
        </w:rPr>
        <w:tab/>
      </w:r>
      <w:r>
        <w:fldChar w:fldCharType="begin"/>
      </w:r>
      <w:r>
        <w:rPr>
          <w:rStyle w:val="43"/>
        </w:rPr>
        <w:instrText xml:space="preserve"> PAGEREF _Toc256000022 \h </w:instrText>
      </w:r>
      <w:r>
        <w:fldChar w:fldCharType="separate"/>
      </w:r>
      <w:r>
        <w:rPr>
          <w:rStyle w:val="43"/>
        </w:rPr>
        <w:t>30</w:t>
      </w:r>
      <w:r>
        <w:fldChar w:fldCharType="end"/>
      </w:r>
      <w:r>
        <w:fldChar w:fldCharType="end"/>
      </w:r>
    </w:p>
    <w:p>
      <w:pPr>
        <w:pStyle w:val="30"/>
        <w:tabs>
          <w:tab w:val="right" w:leader="dot" w:pos="8302"/>
        </w:tabs>
        <w:rPr>
          <w:sz w:val="22"/>
        </w:rPr>
      </w:pPr>
      <w:r>
        <w:fldChar w:fldCharType="begin"/>
      </w:r>
      <w:r>
        <w:instrText xml:space="preserve"> HYPERLINK \l "_Toc256000023" </w:instrText>
      </w:r>
      <w:r>
        <w:fldChar w:fldCharType="separate"/>
      </w:r>
      <w:r>
        <w:rPr>
          <w:rStyle w:val="43"/>
          <w:rFonts w:hint="eastAsia"/>
          <w:highlight w:val="white"/>
        </w:rPr>
        <w:t>评标办法前附表</w:t>
      </w:r>
      <w:r>
        <w:rPr>
          <w:rStyle w:val="43"/>
        </w:rPr>
        <w:tab/>
      </w:r>
      <w:r>
        <w:fldChar w:fldCharType="begin"/>
      </w:r>
      <w:r>
        <w:rPr>
          <w:rStyle w:val="43"/>
        </w:rPr>
        <w:instrText xml:space="preserve"> PAGEREF _Toc256000023 \h </w:instrText>
      </w:r>
      <w:r>
        <w:fldChar w:fldCharType="separate"/>
      </w:r>
      <w:r>
        <w:rPr>
          <w:rStyle w:val="43"/>
        </w:rPr>
        <w:t>30</w:t>
      </w:r>
      <w:r>
        <w:fldChar w:fldCharType="end"/>
      </w:r>
      <w:r>
        <w:fldChar w:fldCharType="end"/>
      </w:r>
    </w:p>
    <w:p>
      <w:pPr>
        <w:pStyle w:val="30"/>
        <w:tabs>
          <w:tab w:val="right" w:leader="dot" w:pos="8302"/>
        </w:tabs>
        <w:rPr>
          <w:sz w:val="22"/>
        </w:rPr>
      </w:pPr>
      <w:r>
        <w:fldChar w:fldCharType="begin"/>
      </w:r>
      <w:r>
        <w:instrText xml:space="preserve"> HYPERLINK \l "_Toc256000024" </w:instrText>
      </w:r>
      <w:r>
        <w:fldChar w:fldCharType="separate"/>
      </w:r>
      <w:r>
        <w:rPr>
          <w:rStyle w:val="43"/>
          <w:rFonts w:hint="eastAsia"/>
          <w:highlight w:val="white"/>
        </w:rPr>
        <w:t>1. 评标方法</w:t>
      </w:r>
      <w:r>
        <w:rPr>
          <w:rStyle w:val="43"/>
        </w:rPr>
        <w:tab/>
      </w:r>
      <w:r>
        <w:fldChar w:fldCharType="begin"/>
      </w:r>
      <w:r>
        <w:rPr>
          <w:rStyle w:val="43"/>
        </w:rPr>
        <w:instrText xml:space="preserve"> PAGEREF _Toc256000024 \h </w:instrText>
      </w:r>
      <w:r>
        <w:fldChar w:fldCharType="separate"/>
      </w:r>
      <w:r>
        <w:rPr>
          <w:rStyle w:val="43"/>
        </w:rPr>
        <w:t>33</w:t>
      </w:r>
      <w:r>
        <w:fldChar w:fldCharType="end"/>
      </w:r>
      <w:r>
        <w:fldChar w:fldCharType="end"/>
      </w:r>
    </w:p>
    <w:p>
      <w:pPr>
        <w:pStyle w:val="30"/>
        <w:tabs>
          <w:tab w:val="right" w:leader="dot" w:pos="8302"/>
        </w:tabs>
        <w:rPr>
          <w:sz w:val="22"/>
        </w:rPr>
      </w:pPr>
      <w:r>
        <w:fldChar w:fldCharType="begin"/>
      </w:r>
      <w:r>
        <w:instrText xml:space="preserve"> HYPERLINK \l "_Toc256000025" </w:instrText>
      </w:r>
      <w:r>
        <w:fldChar w:fldCharType="separate"/>
      </w:r>
      <w:r>
        <w:rPr>
          <w:rStyle w:val="43"/>
          <w:rFonts w:hint="eastAsia"/>
          <w:highlight w:val="white"/>
        </w:rPr>
        <w:t>2. 评审标准</w:t>
      </w:r>
      <w:r>
        <w:rPr>
          <w:rStyle w:val="43"/>
        </w:rPr>
        <w:tab/>
      </w:r>
      <w:r>
        <w:fldChar w:fldCharType="begin"/>
      </w:r>
      <w:r>
        <w:rPr>
          <w:rStyle w:val="43"/>
        </w:rPr>
        <w:instrText xml:space="preserve"> PAGEREF _Toc256000025 \h </w:instrText>
      </w:r>
      <w:r>
        <w:fldChar w:fldCharType="separate"/>
      </w:r>
      <w:r>
        <w:rPr>
          <w:rStyle w:val="43"/>
        </w:rPr>
        <w:t>33</w:t>
      </w:r>
      <w:r>
        <w:fldChar w:fldCharType="end"/>
      </w:r>
      <w:r>
        <w:fldChar w:fldCharType="end"/>
      </w:r>
    </w:p>
    <w:p>
      <w:pPr>
        <w:pStyle w:val="30"/>
        <w:tabs>
          <w:tab w:val="right" w:leader="dot" w:pos="8302"/>
        </w:tabs>
        <w:rPr>
          <w:sz w:val="22"/>
        </w:rPr>
      </w:pPr>
      <w:r>
        <w:fldChar w:fldCharType="begin"/>
      </w:r>
      <w:r>
        <w:instrText xml:space="preserve"> HYPERLINK \l "_Toc256000026" </w:instrText>
      </w:r>
      <w:r>
        <w:fldChar w:fldCharType="separate"/>
      </w:r>
      <w:r>
        <w:rPr>
          <w:rStyle w:val="43"/>
          <w:rFonts w:hint="eastAsia"/>
          <w:highlight w:val="white"/>
        </w:rPr>
        <w:t>3. 评标程序</w:t>
      </w:r>
      <w:r>
        <w:rPr>
          <w:rStyle w:val="43"/>
        </w:rPr>
        <w:tab/>
      </w:r>
      <w:r>
        <w:fldChar w:fldCharType="begin"/>
      </w:r>
      <w:r>
        <w:rPr>
          <w:rStyle w:val="43"/>
        </w:rPr>
        <w:instrText xml:space="preserve"> PAGEREF _Toc256000026 \h </w:instrText>
      </w:r>
      <w:r>
        <w:fldChar w:fldCharType="separate"/>
      </w:r>
      <w:r>
        <w:rPr>
          <w:rStyle w:val="43"/>
        </w:rPr>
        <w:t>33</w:t>
      </w:r>
      <w:r>
        <w:fldChar w:fldCharType="end"/>
      </w:r>
      <w:r>
        <w:fldChar w:fldCharType="end"/>
      </w:r>
    </w:p>
    <w:p>
      <w:pPr>
        <w:pStyle w:val="30"/>
        <w:tabs>
          <w:tab w:val="right" w:leader="dot" w:pos="8302"/>
        </w:tabs>
        <w:rPr>
          <w:sz w:val="22"/>
        </w:rPr>
      </w:pPr>
      <w:r>
        <w:fldChar w:fldCharType="begin"/>
      </w:r>
      <w:r>
        <w:instrText xml:space="preserve"> HYPERLINK \l "_Toc256000027" </w:instrText>
      </w:r>
      <w:r>
        <w:fldChar w:fldCharType="separate"/>
      </w:r>
      <w:r>
        <w:rPr>
          <w:rStyle w:val="43"/>
          <w:rFonts w:hint="eastAsia" w:ascii="宋体" w:hAnsi="宋体" w:eastAsia="宋体"/>
          <w:highlight w:val="white"/>
        </w:rPr>
        <w:t>4. 评标办法其他说明</w:t>
      </w:r>
      <w:r>
        <w:rPr>
          <w:rStyle w:val="43"/>
        </w:rPr>
        <w:tab/>
      </w:r>
      <w:r>
        <w:fldChar w:fldCharType="begin"/>
      </w:r>
      <w:r>
        <w:rPr>
          <w:rStyle w:val="43"/>
        </w:rPr>
        <w:instrText xml:space="preserve"> PAGEREF _Toc256000027 \h </w:instrText>
      </w:r>
      <w:r>
        <w:fldChar w:fldCharType="separate"/>
      </w:r>
      <w:r>
        <w:rPr>
          <w:rStyle w:val="43"/>
        </w:rPr>
        <w:t>34</w:t>
      </w:r>
      <w:r>
        <w:fldChar w:fldCharType="end"/>
      </w:r>
      <w:r>
        <w:fldChar w:fldCharType="end"/>
      </w:r>
    </w:p>
    <w:p>
      <w:pPr>
        <w:pStyle w:val="30"/>
        <w:tabs>
          <w:tab w:val="right" w:leader="dot" w:pos="8302"/>
        </w:tabs>
        <w:rPr>
          <w:sz w:val="22"/>
        </w:rPr>
      </w:pPr>
      <w:r>
        <w:fldChar w:fldCharType="begin"/>
      </w:r>
      <w:r>
        <w:instrText xml:space="preserve"> HYPERLINK \l "_Toc256000028" </w:instrText>
      </w:r>
      <w:r>
        <w:fldChar w:fldCharType="separate"/>
      </w:r>
      <w:r>
        <w:rPr>
          <w:rStyle w:val="43"/>
          <w:highlight w:val="white"/>
        </w:rPr>
        <w:t>附表</w:t>
      </w:r>
      <w:r>
        <w:rPr>
          <w:rStyle w:val="43"/>
          <w:rFonts w:hint="eastAsia"/>
          <w:highlight w:val="white"/>
        </w:rPr>
        <w:t>一</w:t>
      </w:r>
      <w:r>
        <w:rPr>
          <w:rStyle w:val="43"/>
          <w:highlight w:val="white"/>
        </w:rPr>
        <w:t>：</w:t>
      </w:r>
      <w:r>
        <w:rPr>
          <w:rStyle w:val="43"/>
          <w:rFonts w:hint="eastAsia"/>
          <w:highlight w:val="white"/>
        </w:rPr>
        <w:t>投标文件</w:t>
      </w:r>
      <w:r>
        <w:rPr>
          <w:rStyle w:val="43"/>
          <w:highlight w:val="white"/>
        </w:rPr>
        <w:t>澄清通知</w:t>
      </w:r>
      <w:r>
        <w:rPr>
          <w:rStyle w:val="43"/>
          <w:rFonts w:hint="eastAsia"/>
          <w:highlight w:val="white"/>
        </w:rPr>
        <w:t>（格式）</w:t>
      </w:r>
      <w:r>
        <w:rPr>
          <w:rStyle w:val="43"/>
        </w:rPr>
        <w:tab/>
      </w:r>
      <w:r>
        <w:fldChar w:fldCharType="begin"/>
      </w:r>
      <w:r>
        <w:rPr>
          <w:rStyle w:val="43"/>
        </w:rPr>
        <w:instrText xml:space="preserve"> PAGEREF _Toc256000028 \h </w:instrText>
      </w:r>
      <w:r>
        <w:fldChar w:fldCharType="separate"/>
      </w:r>
      <w:r>
        <w:rPr>
          <w:rStyle w:val="43"/>
        </w:rPr>
        <w:t>35</w:t>
      </w:r>
      <w:r>
        <w:fldChar w:fldCharType="end"/>
      </w:r>
      <w:r>
        <w:fldChar w:fldCharType="end"/>
      </w:r>
    </w:p>
    <w:p>
      <w:pPr>
        <w:pStyle w:val="30"/>
        <w:tabs>
          <w:tab w:val="right" w:leader="dot" w:pos="8302"/>
        </w:tabs>
        <w:rPr>
          <w:sz w:val="22"/>
        </w:rPr>
      </w:pPr>
      <w:r>
        <w:fldChar w:fldCharType="begin"/>
      </w:r>
      <w:r>
        <w:instrText xml:space="preserve"> HYPERLINK \l "_Toc256000029" </w:instrText>
      </w:r>
      <w:r>
        <w:fldChar w:fldCharType="separate"/>
      </w:r>
      <w:r>
        <w:rPr>
          <w:rStyle w:val="43"/>
          <w:rFonts w:hint="eastAsia"/>
          <w:highlight w:val="white"/>
        </w:rPr>
        <w:t>附表二：投标文件澄清函（格式）</w:t>
      </w:r>
      <w:r>
        <w:rPr>
          <w:rStyle w:val="43"/>
        </w:rPr>
        <w:tab/>
      </w:r>
      <w:r>
        <w:fldChar w:fldCharType="begin"/>
      </w:r>
      <w:r>
        <w:rPr>
          <w:rStyle w:val="43"/>
        </w:rPr>
        <w:instrText xml:space="preserve"> PAGEREF _Toc256000029 \h </w:instrText>
      </w:r>
      <w:r>
        <w:fldChar w:fldCharType="separate"/>
      </w:r>
      <w:r>
        <w:rPr>
          <w:rStyle w:val="43"/>
        </w:rPr>
        <w:t>36</w:t>
      </w:r>
      <w:r>
        <w:fldChar w:fldCharType="end"/>
      </w:r>
      <w:r>
        <w:fldChar w:fldCharType="end"/>
      </w:r>
    </w:p>
    <w:p>
      <w:pPr>
        <w:pStyle w:val="30"/>
        <w:tabs>
          <w:tab w:val="right" w:leader="dot" w:pos="8302"/>
        </w:tabs>
        <w:rPr>
          <w:sz w:val="22"/>
        </w:rPr>
      </w:pPr>
      <w:r>
        <w:fldChar w:fldCharType="begin"/>
      </w:r>
      <w:r>
        <w:instrText xml:space="preserve"> HYPERLINK \l "_Toc256000030" </w:instrText>
      </w:r>
      <w:r>
        <w:fldChar w:fldCharType="separate"/>
      </w:r>
      <w:r>
        <w:rPr>
          <w:rStyle w:val="43"/>
          <w:rFonts w:hint="eastAsia"/>
          <w:highlight w:val="white"/>
        </w:rPr>
        <w:t>附表三：评分标准（格式）</w:t>
      </w:r>
      <w:r>
        <w:rPr>
          <w:rStyle w:val="43"/>
        </w:rPr>
        <w:tab/>
      </w:r>
      <w:r>
        <w:fldChar w:fldCharType="begin"/>
      </w:r>
      <w:r>
        <w:rPr>
          <w:rStyle w:val="43"/>
        </w:rPr>
        <w:instrText xml:space="preserve"> PAGEREF _Toc256000030 \h </w:instrText>
      </w:r>
      <w:r>
        <w:fldChar w:fldCharType="separate"/>
      </w:r>
      <w:r>
        <w:rPr>
          <w:rStyle w:val="43"/>
        </w:rPr>
        <w:t>37</w:t>
      </w:r>
      <w:r>
        <w:fldChar w:fldCharType="end"/>
      </w:r>
      <w:r>
        <w:fldChar w:fldCharType="end"/>
      </w:r>
    </w:p>
    <w:p>
      <w:pPr>
        <w:pStyle w:val="26"/>
        <w:tabs>
          <w:tab w:val="right" w:leader="dot" w:pos="8302"/>
        </w:tabs>
        <w:rPr>
          <w:sz w:val="22"/>
        </w:rPr>
      </w:pPr>
      <w:r>
        <w:fldChar w:fldCharType="begin"/>
      </w:r>
      <w:r>
        <w:instrText xml:space="preserve"> HYPERLINK \l "_Toc256000031" </w:instrText>
      </w:r>
      <w:r>
        <w:fldChar w:fldCharType="separate"/>
      </w:r>
      <w:r>
        <w:rPr>
          <w:rStyle w:val="43"/>
          <w:rFonts w:hint="eastAsia" w:ascii="黑体" w:hAnsi="黑体"/>
          <w:highlight w:val="white"/>
        </w:rPr>
        <w:t>第四章 合同条款及格式</w:t>
      </w:r>
      <w:r>
        <w:rPr>
          <w:rStyle w:val="43"/>
        </w:rPr>
        <w:tab/>
      </w:r>
      <w:r>
        <w:fldChar w:fldCharType="begin"/>
      </w:r>
      <w:r>
        <w:rPr>
          <w:rStyle w:val="43"/>
        </w:rPr>
        <w:instrText xml:space="preserve"> PAGEREF _Toc256000031 \h </w:instrText>
      </w:r>
      <w:r>
        <w:fldChar w:fldCharType="separate"/>
      </w:r>
      <w:r>
        <w:rPr>
          <w:rStyle w:val="43"/>
        </w:rPr>
        <w:t>43</w:t>
      </w:r>
      <w:r>
        <w:fldChar w:fldCharType="end"/>
      </w:r>
      <w:r>
        <w:fldChar w:fldCharType="end"/>
      </w:r>
    </w:p>
    <w:p>
      <w:pPr>
        <w:pStyle w:val="30"/>
        <w:tabs>
          <w:tab w:val="right" w:leader="dot" w:pos="8302"/>
        </w:tabs>
        <w:rPr>
          <w:sz w:val="22"/>
        </w:rPr>
      </w:pPr>
      <w:r>
        <w:fldChar w:fldCharType="begin"/>
      </w:r>
      <w:r>
        <w:instrText xml:space="preserve"> HYPERLINK \l "_Toc256000032" </w:instrText>
      </w:r>
      <w:r>
        <w:fldChar w:fldCharType="separate"/>
      </w:r>
      <w:r>
        <w:rPr>
          <w:rStyle w:val="43"/>
          <w:rFonts w:hint="eastAsia" w:ascii="宋体" w:hAnsi="宋体" w:eastAsia="宋体" w:cs="宋体"/>
        </w:rPr>
        <w:t>第一节通用合同条款</w:t>
      </w:r>
      <w:r>
        <w:rPr>
          <w:rStyle w:val="43"/>
        </w:rPr>
        <w:tab/>
      </w:r>
      <w:r>
        <w:fldChar w:fldCharType="begin"/>
      </w:r>
      <w:r>
        <w:rPr>
          <w:rStyle w:val="43"/>
        </w:rPr>
        <w:instrText xml:space="preserve"> PAGEREF _Toc256000032 \h </w:instrText>
      </w:r>
      <w:r>
        <w:fldChar w:fldCharType="separate"/>
      </w:r>
      <w:r>
        <w:rPr>
          <w:rStyle w:val="43"/>
        </w:rPr>
        <w:t>43</w:t>
      </w:r>
      <w:r>
        <w:fldChar w:fldCharType="end"/>
      </w:r>
      <w:r>
        <w:fldChar w:fldCharType="end"/>
      </w:r>
    </w:p>
    <w:p>
      <w:pPr>
        <w:pStyle w:val="30"/>
        <w:tabs>
          <w:tab w:val="right" w:leader="dot" w:pos="8302"/>
        </w:tabs>
        <w:rPr>
          <w:sz w:val="22"/>
        </w:rPr>
      </w:pPr>
      <w:r>
        <w:fldChar w:fldCharType="begin"/>
      </w:r>
      <w:r>
        <w:instrText xml:space="preserve"> HYPERLINK \l "_Toc256000034" </w:instrText>
      </w:r>
      <w:r>
        <w:fldChar w:fldCharType="separate"/>
      </w:r>
      <w:r>
        <w:rPr>
          <w:rStyle w:val="43"/>
          <w:rFonts w:hint="eastAsia" w:ascii="宋体" w:hAnsi="宋体" w:eastAsia="宋体" w:cs="宋体"/>
        </w:rPr>
        <w:t>第二节专用合同条款</w:t>
      </w:r>
      <w:r>
        <w:rPr>
          <w:rStyle w:val="43"/>
        </w:rPr>
        <w:tab/>
      </w:r>
      <w:r>
        <w:fldChar w:fldCharType="begin"/>
      </w:r>
      <w:r>
        <w:rPr>
          <w:rStyle w:val="43"/>
        </w:rPr>
        <w:instrText xml:space="preserve"> PAGEREF _Toc256000034 \h </w:instrText>
      </w:r>
      <w:r>
        <w:fldChar w:fldCharType="separate"/>
      </w:r>
      <w:r>
        <w:rPr>
          <w:rStyle w:val="43"/>
        </w:rPr>
        <w:t>89</w:t>
      </w:r>
      <w:r>
        <w:fldChar w:fldCharType="end"/>
      </w:r>
      <w:r>
        <w:fldChar w:fldCharType="end"/>
      </w:r>
    </w:p>
    <w:p>
      <w:pPr>
        <w:pStyle w:val="30"/>
        <w:tabs>
          <w:tab w:val="right" w:leader="dot" w:pos="8302"/>
        </w:tabs>
        <w:rPr>
          <w:sz w:val="22"/>
        </w:rPr>
      </w:pPr>
      <w:r>
        <w:fldChar w:fldCharType="begin"/>
      </w:r>
      <w:r>
        <w:instrText xml:space="preserve"> HYPERLINK \l "_Toc256000035" </w:instrText>
      </w:r>
      <w:r>
        <w:fldChar w:fldCharType="separate"/>
      </w:r>
      <w:r>
        <w:rPr>
          <w:rStyle w:val="43"/>
          <w:rFonts w:hint="eastAsia" w:ascii="宋体" w:hAnsi="宋体" w:eastAsia="宋体" w:cs="宋体"/>
        </w:rPr>
        <w:t>第三节合同附件格式</w:t>
      </w:r>
      <w:r>
        <w:rPr>
          <w:rStyle w:val="43"/>
        </w:rPr>
        <w:tab/>
      </w:r>
      <w:r>
        <w:fldChar w:fldCharType="begin"/>
      </w:r>
      <w:r>
        <w:rPr>
          <w:rStyle w:val="43"/>
        </w:rPr>
        <w:instrText xml:space="preserve"> PAGEREF _Toc256000035 \h </w:instrText>
      </w:r>
      <w:r>
        <w:fldChar w:fldCharType="separate"/>
      </w:r>
      <w:r>
        <w:rPr>
          <w:rStyle w:val="43"/>
        </w:rPr>
        <w:t>100</w:t>
      </w:r>
      <w:r>
        <w:fldChar w:fldCharType="end"/>
      </w:r>
      <w:r>
        <w:fldChar w:fldCharType="end"/>
      </w:r>
    </w:p>
    <w:p>
      <w:pPr>
        <w:pStyle w:val="18"/>
        <w:tabs>
          <w:tab w:val="right" w:leader="dot" w:pos="8302"/>
        </w:tabs>
        <w:rPr>
          <w:sz w:val="22"/>
        </w:rPr>
      </w:pPr>
      <w:r>
        <w:fldChar w:fldCharType="begin"/>
      </w:r>
      <w:r>
        <w:instrText xml:space="preserve"> HYPERLINK \l "_Toc256000036" </w:instrText>
      </w:r>
      <w:r>
        <w:fldChar w:fldCharType="separate"/>
      </w:r>
      <w:r>
        <w:rPr>
          <w:rStyle w:val="43"/>
          <w:rFonts w:hint="eastAsia" w:hAnsi="宋体" w:cs="宋体"/>
        </w:rPr>
        <w:t>附件一：</w:t>
      </w:r>
      <w:r>
        <w:rPr>
          <w:rStyle w:val="43"/>
        </w:rPr>
        <w:tab/>
      </w:r>
      <w:r>
        <w:fldChar w:fldCharType="begin"/>
      </w:r>
      <w:r>
        <w:rPr>
          <w:rStyle w:val="43"/>
        </w:rPr>
        <w:instrText xml:space="preserve"> PAGEREF _Toc256000036 \h </w:instrText>
      </w:r>
      <w:r>
        <w:fldChar w:fldCharType="separate"/>
      </w:r>
      <w:r>
        <w:rPr>
          <w:rStyle w:val="43"/>
        </w:rPr>
        <w:t>101</w:t>
      </w:r>
      <w:r>
        <w:fldChar w:fldCharType="end"/>
      </w:r>
      <w:r>
        <w:fldChar w:fldCharType="end"/>
      </w:r>
    </w:p>
    <w:p>
      <w:pPr>
        <w:pStyle w:val="18"/>
        <w:tabs>
          <w:tab w:val="right" w:leader="dot" w:pos="8302"/>
        </w:tabs>
        <w:rPr>
          <w:sz w:val="22"/>
        </w:rPr>
      </w:pPr>
      <w:r>
        <w:fldChar w:fldCharType="begin"/>
      </w:r>
      <w:r>
        <w:instrText xml:space="preserve"> HYPERLINK \l "_Toc256000037" </w:instrText>
      </w:r>
      <w:r>
        <w:fldChar w:fldCharType="separate"/>
      </w:r>
      <w:r>
        <w:rPr>
          <w:rStyle w:val="43"/>
          <w:rFonts w:hint="eastAsia" w:hAnsi="宋体" w:eastAsia="宋体"/>
          <w:b/>
        </w:rPr>
        <w:t>合同协议书</w:t>
      </w:r>
      <w:r>
        <w:rPr>
          <w:rStyle w:val="43"/>
        </w:rPr>
        <w:tab/>
      </w:r>
      <w:r>
        <w:fldChar w:fldCharType="begin"/>
      </w:r>
      <w:r>
        <w:rPr>
          <w:rStyle w:val="43"/>
        </w:rPr>
        <w:instrText xml:space="preserve"> PAGEREF _Toc256000037 \h </w:instrText>
      </w:r>
      <w:r>
        <w:fldChar w:fldCharType="separate"/>
      </w:r>
      <w:r>
        <w:rPr>
          <w:rStyle w:val="43"/>
        </w:rPr>
        <w:t>101</w:t>
      </w:r>
      <w:r>
        <w:fldChar w:fldCharType="end"/>
      </w:r>
      <w:r>
        <w:fldChar w:fldCharType="end"/>
      </w:r>
    </w:p>
    <w:p>
      <w:pPr>
        <w:pStyle w:val="18"/>
        <w:tabs>
          <w:tab w:val="right" w:leader="dot" w:pos="8302"/>
        </w:tabs>
        <w:rPr>
          <w:sz w:val="22"/>
        </w:rPr>
      </w:pPr>
      <w:r>
        <w:fldChar w:fldCharType="begin"/>
      </w:r>
      <w:r>
        <w:instrText xml:space="preserve"> HYPERLINK \l "_Toc256000038" </w:instrText>
      </w:r>
      <w:r>
        <w:fldChar w:fldCharType="separate"/>
      </w:r>
      <w:r>
        <w:rPr>
          <w:rStyle w:val="43"/>
          <w:rFonts w:hint="eastAsia" w:hAnsi="宋体" w:cs="宋体"/>
        </w:rPr>
        <w:t>附件二：</w:t>
      </w:r>
      <w:r>
        <w:rPr>
          <w:rStyle w:val="43"/>
        </w:rPr>
        <w:tab/>
      </w:r>
      <w:r>
        <w:fldChar w:fldCharType="begin"/>
      </w:r>
      <w:r>
        <w:rPr>
          <w:rStyle w:val="43"/>
        </w:rPr>
        <w:instrText xml:space="preserve"> PAGEREF _Toc256000038 \h </w:instrText>
      </w:r>
      <w:r>
        <w:fldChar w:fldCharType="separate"/>
      </w:r>
      <w:r>
        <w:rPr>
          <w:rStyle w:val="43"/>
        </w:rPr>
        <w:t>102</w:t>
      </w:r>
      <w:r>
        <w:fldChar w:fldCharType="end"/>
      </w:r>
      <w:r>
        <w:fldChar w:fldCharType="end"/>
      </w:r>
    </w:p>
    <w:p>
      <w:pPr>
        <w:pStyle w:val="18"/>
        <w:tabs>
          <w:tab w:val="right" w:leader="dot" w:pos="8302"/>
        </w:tabs>
        <w:rPr>
          <w:sz w:val="22"/>
        </w:rPr>
      </w:pPr>
      <w:r>
        <w:fldChar w:fldCharType="begin"/>
      </w:r>
      <w:r>
        <w:instrText xml:space="preserve"> HYPERLINK \l "_Toc256000039" </w:instrText>
      </w:r>
      <w:r>
        <w:fldChar w:fldCharType="separate"/>
      </w:r>
      <w:r>
        <w:rPr>
          <w:rStyle w:val="43"/>
          <w:rFonts w:hint="eastAsia" w:hAnsi="宋体" w:eastAsia="宋体"/>
        </w:rPr>
        <w:t>履约担保</w:t>
      </w:r>
      <w:r>
        <w:rPr>
          <w:rStyle w:val="43"/>
        </w:rPr>
        <w:tab/>
      </w:r>
      <w:r>
        <w:fldChar w:fldCharType="begin"/>
      </w:r>
      <w:r>
        <w:rPr>
          <w:rStyle w:val="43"/>
        </w:rPr>
        <w:instrText xml:space="preserve"> PAGEREF _Toc256000039 \h </w:instrText>
      </w:r>
      <w:r>
        <w:fldChar w:fldCharType="separate"/>
      </w:r>
      <w:r>
        <w:rPr>
          <w:rStyle w:val="43"/>
        </w:rPr>
        <w:t>102</w:t>
      </w:r>
      <w:r>
        <w:fldChar w:fldCharType="end"/>
      </w:r>
      <w:r>
        <w:fldChar w:fldCharType="end"/>
      </w:r>
    </w:p>
    <w:p>
      <w:pPr>
        <w:pStyle w:val="18"/>
        <w:tabs>
          <w:tab w:val="right" w:leader="dot" w:pos="8302"/>
        </w:tabs>
        <w:rPr>
          <w:sz w:val="22"/>
        </w:rPr>
      </w:pPr>
      <w:r>
        <w:fldChar w:fldCharType="begin"/>
      </w:r>
      <w:r>
        <w:instrText xml:space="preserve"> HYPERLINK \l "_Toc256000040" </w:instrText>
      </w:r>
      <w:r>
        <w:fldChar w:fldCharType="separate"/>
      </w:r>
      <w:r>
        <w:rPr>
          <w:rStyle w:val="43"/>
          <w:rFonts w:hint="eastAsia" w:hAnsi="宋体" w:cs="宋体"/>
        </w:rPr>
        <w:t>附件三：</w:t>
      </w:r>
      <w:r>
        <w:rPr>
          <w:rStyle w:val="43"/>
        </w:rPr>
        <w:tab/>
      </w:r>
      <w:r>
        <w:fldChar w:fldCharType="begin"/>
      </w:r>
      <w:r>
        <w:rPr>
          <w:rStyle w:val="43"/>
        </w:rPr>
        <w:instrText xml:space="preserve"> PAGEREF _Toc256000040 \h </w:instrText>
      </w:r>
      <w:r>
        <w:fldChar w:fldCharType="separate"/>
      </w:r>
      <w:r>
        <w:rPr>
          <w:rStyle w:val="43"/>
        </w:rPr>
        <w:t>103</w:t>
      </w:r>
      <w:r>
        <w:fldChar w:fldCharType="end"/>
      </w:r>
      <w:r>
        <w:fldChar w:fldCharType="end"/>
      </w:r>
    </w:p>
    <w:p>
      <w:pPr>
        <w:pStyle w:val="18"/>
        <w:tabs>
          <w:tab w:val="right" w:leader="dot" w:pos="8302"/>
        </w:tabs>
        <w:rPr>
          <w:sz w:val="22"/>
        </w:rPr>
      </w:pPr>
      <w:r>
        <w:fldChar w:fldCharType="begin"/>
      </w:r>
      <w:r>
        <w:instrText xml:space="preserve"> HYPERLINK \l "_Toc256000041" </w:instrText>
      </w:r>
      <w:r>
        <w:fldChar w:fldCharType="separate"/>
      </w:r>
      <w:r>
        <w:rPr>
          <w:rStyle w:val="43"/>
          <w:rFonts w:hint="eastAsia" w:hAnsi="宋体" w:eastAsia="宋体"/>
        </w:rPr>
        <w:t>预付款担保函</w:t>
      </w:r>
      <w:r>
        <w:rPr>
          <w:rStyle w:val="43"/>
        </w:rPr>
        <w:tab/>
      </w:r>
      <w:r>
        <w:fldChar w:fldCharType="begin"/>
      </w:r>
      <w:r>
        <w:rPr>
          <w:rStyle w:val="43"/>
        </w:rPr>
        <w:instrText xml:space="preserve"> PAGEREF _Toc256000041 \h </w:instrText>
      </w:r>
      <w:r>
        <w:fldChar w:fldCharType="separate"/>
      </w:r>
      <w:r>
        <w:rPr>
          <w:rStyle w:val="43"/>
        </w:rPr>
        <w:t>103</w:t>
      </w:r>
      <w:r>
        <w:fldChar w:fldCharType="end"/>
      </w:r>
      <w:r>
        <w:fldChar w:fldCharType="end"/>
      </w:r>
    </w:p>
    <w:p>
      <w:pPr>
        <w:pStyle w:val="26"/>
        <w:tabs>
          <w:tab w:val="right" w:leader="dot" w:pos="8302"/>
        </w:tabs>
        <w:rPr>
          <w:sz w:val="22"/>
        </w:rPr>
      </w:pPr>
      <w:r>
        <w:fldChar w:fldCharType="begin"/>
      </w:r>
      <w:r>
        <w:instrText xml:space="preserve"> HYPERLINK \l "_Toc256000042" </w:instrText>
      </w:r>
      <w:r>
        <w:fldChar w:fldCharType="separate"/>
      </w:r>
      <w:r>
        <w:rPr>
          <w:rStyle w:val="43"/>
          <w:rFonts w:hint="eastAsia" w:ascii="黑体" w:hAnsi="黑体"/>
          <w:highlight w:val="white"/>
        </w:rPr>
        <w:t>第五章  工程量清单</w:t>
      </w:r>
      <w:r>
        <w:rPr>
          <w:rStyle w:val="43"/>
        </w:rPr>
        <w:tab/>
      </w:r>
      <w:r>
        <w:fldChar w:fldCharType="begin"/>
      </w:r>
      <w:r>
        <w:rPr>
          <w:rStyle w:val="43"/>
        </w:rPr>
        <w:instrText xml:space="preserve"> PAGEREF _Toc256000042 \h </w:instrText>
      </w:r>
      <w:r>
        <w:fldChar w:fldCharType="separate"/>
      </w:r>
      <w:r>
        <w:rPr>
          <w:rStyle w:val="43"/>
        </w:rPr>
        <w:t>104</w:t>
      </w:r>
      <w:r>
        <w:fldChar w:fldCharType="end"/>
      </w:r>
      <w:r>
        <w:fldChar w:fldCharType="end"/>
      </w:r>
    </w:p>
    <w:p>
      <w:pPr>
        <w:pStyle w:val="26"/>
        <w:tabs>
          <w:tab w:val="right" w:leader="dot" w:pos="8302"/>
        </w:tabs>
        <w:rPr>
          <w:sz w:val="22"/>
        </w:rPr>
      </w:pPr>
      <w:r>
        <w:fldChar w:fldCharType="begin"/>
      </w:r>
      <w:r>
        <w:instrText xml:space="preserve"> HYPERLINK \l "_Toc256000043" </w:instrText>
      </w:r>
      <w:r>
        <w:fldChar w:fldCharType="separate"/>
      </w:r>
      <w:r>
        <w:rPr>
          <w:rStyle w:val="43"/>
          <w:rFonts w:hint="eastAsia" w:ascii="宋体" w:hAnsi="宋体"/>
          <w:highlight w:val="white"/>
        </w:rPr>
        <w:t>第 二 卷</w:t>
      </w:r>
      <w:r>
        <w:rPr>
          <w:rStyle w:val="43"/>
        </w:rPr>
        <w:tab/>
      </w:r>
      <w:r>
        <w:fldChar w:fldCharType="begin"/>
      </w:r>
      <w:r>
        <w:rPr>
          <w:rStyle w:val="43"/>
        </w:rPr>
        <w:instrText xml:space="preserve"> PAGEREF _Toc256000043 \h </w:instrText>
      </w:r>
      <w:r>
        <w:fldChar w:fldCharType="separate"/>
      </w:r>
      <w:r>
        <w:rPr>
          <w:rStyle w:val="43"/>
        </w:rPr>
        <w:t>105</w:t>
      </w:r>
      <w:r>
        <w:fldChar w:fldCharType="end"/>
      </w:r>
      <w:r>
        <w:fldChar w:fldCharType="end"/>
      </w:r>
    </w:p>
    <w:p>
      <w:pPr>
        <w:pStyle w:val="26"/>
        <w:tabs>
          <w:tab w:val="right" w:leader="dot" w:pos="8302"/>
        </w:tabs>
        <w:rPr>
          <w:sz w:val="22"/>
        </w:rPr>
      </w:pPr>
      <w:r>
        <w:fldChar w:fldCharType="begin"/>
      </w:r>
      <w:r>
        <w:instrText xml:space="preserve"> HYPERLINK \l "_Toc256000044" </w:instrText>
      </w:r>
      <w:r>
        <w:fldChar w:fldCharType="separate"/>
      </w:r>
      <w:r>
        <w:rPr>
          <w:rStyle w:val="43"/>
          <w:rFonts w:hint="eastAsia" w:ascii="黑体" w:hAnsi="黑体"/>
          <w:highlight w:val="white"/>
        </w:rPr>
        <w:t>第六章 技术标准和要求（合同技术条款）</w:t>
      </w:r>
      <w:r>
        <w:rPr>
          <w:rStyle w:val="43"/>
        </w:rPr>
        <w:tab/>
      </w:r>
      <w:r>
        <w:fldChar w:fldCharType="begin"/>
      </w:r>
      <w:r>
        <w:rPr>
          <w:rStyle w:val="43"/>
        </w:rPr>
        <w:instrText xml:space="preserve"> PAGEREF _Toc256000044 \h </w:instrText>
      </w:r>
      <w:r>
        <w:fldChar w:fldCharType="separate"/>
      </w:r>
      <w:r>
        <w:rPr>
          <w:rStyle w:val="43"/>
        </w:rPr>
        <w:t>106</w:t>
      </w:r>
      <w:r>
        <w:fldChar w:fldCharType="end"/>
      </w:r>
      <w:r>
        <w:fldChar w:fldCharType="end"/>
      </w:r>
    </w:p>
    <w:p>
      <w:pPr>
        <w:pStyle w:val="26"/>
        <w:tabs>
          <w:tab w:val="right" w:leader="dot" w:pos="8302"/>
        </w:tabs>
        <w:rPr>
          <w:sz w:val="22"/>
        </w:rPr>
      </w:pPr>
      <w:r>
        <w:fldChar w:fldCharType="begin"/>
      </w:r>
      <w:r>
        <w:instrText xml:space="preserve"> HYPERLINK \l "_Toc256000082" </w:instrText>
      </w:r>
      <w:r>
        <w:fldChar w:fldCharType="separate"/>
      </w:r>
      <w:r>
        <w:rPr>
          <w:rStyle w:val="43"/>
          <w:rFonts w:hint="eastAsia" w:ascii="宋体" w:hAnsi="宋体"/>
          <w:highlight w:val="white"/>
        </w:rPr>
        <w:t>第 三 卷</w:t>
      </w:r>
      <w:r>
        <w:rPr>
          <w:rStyle w:val="43"/>
        </w:rPr>
        <w:tab/>
      </w:r>
      <w:r>
        <w:fldChar w:fldCharType="begin"/>
      </w:r>
      <w:r>
        <w:rPr>
          <w:rStyle w:val="43"/>
        </w:rPr>
        <w:instrText xml:space="preserve"> PAGEREF _Toc256000082 \h </w:instrText>
      </w:r>
      <w:r>
        <w:fldChar w:fldCharType="separate"/>
      </w:r>
      <w:r>
        <w:rPr>
          <w:rStyle w:val="43"/>
        </w:rPr>
        <w:t>110</w:t>
      </w:r>
      <w:r>
        <w:fldChar w:fldCharType="end"/>
      </w:r>
      <w:r>
        <w:fldChar w:fldCharType="end"/>
      </w:r>
    </w:p>
    <w:p>
      <w:pPr>
        <w:pStyle w:val="26"/>
        <w:tabs>
          <w:tab w:val="right" w:leader="dot" w:pos="8302"/>
        </w:tabs>
        <w:rPr>
          <w:sz w:val="22"/>
        </w:rPr>
      </w:pPr>
      <w:r>
        <w:fldChar w:fldCharType="begin"/>
      </w:r>
      <w:r>
        <w:instrText xml:space="preserve"> HYPERLINK \l "_Toc256000083" </w:instrText>
      </w:r>
      <w:r>
        <w:fldChar w:fldCharType="separate"/>
      </w:r>
      <w:r>
        <w:rPr>
          <w:rStyle w:val="43"/>
          <w:rFonts w:hint="eastAsia" w:ascii="黑体" w:hAnsi="黑体"/>
          <w:highlight w:val="white"/>
        </w:rPr>
        <w:t>第七章  投标文件格式</w:t>
      </w:r>
      <w:r>
        <w:rPr>
          <w:rStyle w:val="43"/>
        </w:rPr>
        <w:tab/>
      </w:r>
      <w:r>
        <w:fldChar w:fldCharType="begin"/>
      </w:r>
      <w:r>
        <w:rPr>
          <w:rStyle w:val="43"/>
        </w:rPr>
        <w:instrText xml:space="preserve"> PAGEREF _Toc256000083 \h </w:instrText>
      </w:r>
      <w:r>
        <w:fldChar w:fldCharType="separate"/>
      </w:r>
      <w:r>
        <w:rPr>
          <w:rStyle w:val="43"/>
        </w:rPr>
        <w:t>111</w:t>
      </w:r>
      <w:r>
        <w:fldChar w:fldCharType="end"/>
      </w:r>
      <w:r>
        <w:fldChar w:fldCharType="end"/>
      </w:r>
    </w:p>
    <w:p>
      <w:pPr>
        <w:pStyle w:val="30"/>
        <w:tabs>
          <w:tab w:val="right" w:leader="dot" w:pos="8302"/>
        </w:tabs>
        <w:rPr>
          <w:sz w:val="22"/>
        </w:rPr>
      </w:pPr>
      <w:r>
        <w:fldChar w:fldCharType="begin"/>
      </w:r>
      <w:r>
        <w:instrText xml:space="preserve"> HYPERLINK \l "_Toc256000084" </w:instrText>
      </w:r>
      <w:r>
        <w:fldChar w:fldCharType="separate"/>
      </w:r>
      <w:r>
        <w:rPr>
          <w:rStyle w:val="43"/>
          <w:rFonts w:hint="eastAsia" w:ascii="Times New Roman" w:hAnsi="Times New Roman"/>
          <w:highlight w:val="white"/>
        </w:rPr>
        <w:t>评标要素索引表</w:t>
      </w:r>
      <w:r>
        <w:rPr>
          <w:rStyle w:val="43"/>
        </w:rPr>
        <w:tab/>
      </w:r>
      <w:r>
        <w:fldChar w:fldCharType="begin"/>
      </w:r>
      <w:r>
        <w:rPr>
          <w:rStyle w:val="43"/>
        </w:rPr>
        <w:instrText xml:space="preserve"> PAGEREF _Toc256000084 \h </w:instrText>
      </w:r>
      <w:r>
        <w:fldChar w:fldCharType="separate"/>
      </w:r>
      <w:r>
        <w:rPr>
          <w:rStyle w:val="43"/>
        </w:rPr>
        <w:t>112</w:t>
      </w:r>
      <w:r>
        <w:fldChar w:fldCharType="end"/>
      </w:r>
      <w:r>
        <w:fldChar w:fldCharType="end"/>
      </w:r>
    </w:p>
    <w:p>
      <w:pPr>
        <w:pStyle w:val="30"/>
        <w:tabs>
          <w:tab w:val="right" w:leader="dot" w:pos="8302"/>
        </w:tabs>
        <w:rPr>
          <w:sz w:val="22"/>
        </w:rPr>
      </w:pPr>
      <w:r>
        <w:fldChar w:fldCharType="begin"/>
      </w:r>
      <w:r>
        <w:instrText xml:space="preserve"> HYPERLINK \l "_Toc256000085" </w:instrText>
      </w:r>
      <w:r>
        <w:fldChar w:fldCharType="separate"/>
      </w:r>
      <w:r>
        <w:rPr>
          <w:rStyle w:val="43"/>
          <w:rFonts w:ascii="黑体" w:hAnsi="黑体" w:cs="黑体"/>
          <w:b/>
        </w:rPr>
        <w:t>一、投标函及投标函附录</w:t>
      </w:r>
      <w:r>
        <w:rPr>
          <w:rStyle w:val="43"/>
        </w:rPr>
        <w:tab/>
      </w:r>
      <w:r>
        <w:fldChar w:fldCharType="begin"/>
      </w:r>
      <w:r>
        <w:rPr>
          <w:rStyle w:val="43"/>
        </w:rPr>
        <w:instrText xml:space="preserve"> PAGEREF _Toc256000085 \h </w:instrText>
      </w:r>
      <w:r>
        <w:fldChar w:fldCharType="separate"/>
      </w:r>
      <w:r>
        <w:rPr>
          <w:rStyle w:val="43"/>
        </w:rPr>
        <w:t>115</w:t>
      </w:r>
      <w:r>
        <w:fldChar w:fldCharType="end"/>
      </w:r>
      <w:r>
        <w:fldChar w:fldCharType="end"/>
      </w:r>
    </w:p>
    <w:p>
      <w:pPr>
        <w:pStyle w:val="30"/>
        <w:tabs>
          <w:tab w:val="right" w:leader="dot" w:pos="8302"/>
        </w:tabs>
        <w:rPr>
          <w:sz w:val="22"/>
        </w:rPr>
      </w:pPr>
      <w:r>
        <w:fldChar w:fldCharType="begin"/>
      </w:r>
      <w:r>
        <w:instrText xml:space="preserve"> HYPERLINK \l "_Toc256000086" </w:instrText>
      </w:r>
      <w:r>
        <w:fldChar w:fldCharType="separate"/>
      </w:r>
      <w:r>
        <w:rPr>
          <w:rStyle w:val="43"/>
          <w:rFonts w:ascii="Times New Roman" w:hAnsi="Times New Roman"/>
        </w:rPr>
        <w:t>一、投标函及投标函附录</w:t>
      </w:r>
      <w:r>
        <w:rPr>
          <w:rStyle w:val="43"/>
        </w:rPr>
        <w:tab/>
      </w:r>
      <w:r>
        <w:fldChar w:fldCharType="begin"/>
      </w:r>
      <w:r>
        <w:rPr>
          <w:rStyle w:val="43"/>
        </w:rPr>
        <w:instrText xml:space="preserve"> PAGEREF _Toc256000086 \h </w:instrText>
      </w:r>
      <w:r>
        <w:fldChar w:fldCharType="separate"/>
      </w:r>
      <w:r>
        <w:rPr>
          <w:rStyle w:val="43"/>
        </w:rPr>
        <w:t>115</w:t>
      </w:r>
      <w:r>
        <w:fldChar w:fldCharType="end"/>
      </w:r>
      <w:r>
        <w:fldChar w:fldCharType="end"/>
      </w:r>
    </w:p>
    <w:p>
      <w:pPr>
        <w:pStyle w:val="18"/>
        <w:tabs>
          <w:tab w:val="right" w:leader="dot" w:pos="8302"/>
        </w:tabs>
        <w:rPr>
          <w:sz w:val="22"/>
        </w:rPr>
      </w:pPr>
      <w:r>
        <w:fldChar w:fldCharType="begin"/>
      </w:r>
      <w:r>
        <w:instrText xml:space="preserve"> HYPERLINK \l "_Toc256000087" </w:instrText>
      </w:r>
      <w:r>
        <w:fldChar w:fldCharType="separate"/>
      </w:r>
      <w:r>
        <w:rPr>
          <w:rStyle w:val="43"/>
          <w:rFonts w:hint="eastAsia"/>
        </w:rPr>
        <w:t>（一）投标函</w:t>
      </w:r>
      <w:r>
        <w:rPr>
          <w:rStyle w:val="43"/>
        </w:rPr>
        <w:tab/>
      </w:r>
      <w:r>
        <w:fldChar w:fldCharType="begin"/>
      </w:r>
      <w:r>
        <w:rPr>
          <w:rStyle w:val="43"/>
        </w:rPr>
        <w:instrText xml:space="preserve"> PAGEREF _Toc256000087 \h </w:instrText>
      </w:r>
      <w:r>
        <w:fldChar w:fldCharType="separate"/>
      </w:r>
      <w:r>
        <w:rPr>
          <w:rStyle w:val="43"/>
        </w:rPr>
        <w:t>115</w:t>
      </w:r>
      <w:r>
        <w:fldChar w:fldCharType="end"/>
      </w:r>
      <w:r>
        <w:fldChar w:fldCharType="end"/>
      </w:r>
    </w:p>
    <w:p>
      <w:pPr>
        <w:pStyle w:val="18"/>
        <w:tabs>
          <w:tab w:val="right" w:leader="dot" w:pos="8302"/>
        </w:tabs>
        <w:rPr>
          <w:sz w:val="22"/>
        </w:rPr>
      </w:pPr>
      <w:r>
        <w:fldChar w:fldCharType="begin"/>
      </w:r>
      <w:r>
        <w:instrText xml:space="preserve"> HYPERLINK \l "_Toc256000088" </w:instrText>
      </w:r>
      <w:r>
        <w:fldChar w:fldCharType="separate"/>
      </w:r>
      <w:r>
        <w:rPr>
          <w:rStyle w:val="43"/>
          <w:rFonts w:hint="eastAsia"/>
        </w:rPr>
        <w:t>（二）投标函附录</w:t>
      </w:r>
      <w:r>
        <w:rPr>
          <w:rStyle w:val="43"/>
        </w:rPr>
        <w:tab/>
      </w:r>
      <w:r>
        <w:fldChar w:fldCharType="begin"/>
      </w:r>
      <w:r>
        <w:rPr>
          <w:rStyle w:val="43"/>
        </w:rPr>
        <w:instrText xml:space="preserve"> PAGEREF _Toc256000088 \h </w:instrText>
      </w:r>
      <w:r>
        <w:fldChar w:fldCharType="separate"/>
      </w:r>
      <w:r>
        <w:rPr>
          <w:rStyle w:val="43"/>
        </w:rPr>
        <w:t>116</w:t>
      </w:r>
      <w:r>
        <w:fldChar w:fldCharType="end"/>
      </w:r>
      <w:r>
        <w:fldChar w:fldCharType="end"/>
      </w:r>
    </w:p>
    <w:p>
      <w:pPr>
        <w:pStyle w:val="30"/>
        <w:tabs>
          <w:tab w:val="right" w:leader="dot" w:pos="8302"/>
        </w:tabs>
        <w:rPr>
          <w:sz w:val="22"/>
        </w:rPr>
      </w:pPr>
      <w:r>
        <w:fldChar w:fldCharType="begin"/>
      </w:r>
      <w:r>
        <w:instrText xml:space="preserve"> HYPERLINK \l "_Toc256000089" </w:instrText>
      </w:r>
      <w:r>
        <w:fldChar w:fldCharType="separate"/>
      </w:r>
      <w:r>
        <w:rPr>
          <w:rStyle w:val="43"/>
          <w:rFonts w:ascii="黑体" w:hAnsi="黑体" w:cs="黑体"/>
          <w:b/>
        </w:rPr>
        <w:t>二、法定代表人身份证明及授权委托书</w:t>
      </w:r>
      <w:r>
        <w:rPr>
          <w:rStyle w:val="43"/>
        </w:rPr>
        <w:tab/>
      </w:r>
      <w:r>
        <w:fldChar w:fldCharType="begin"/>
      </w:r>
      <w:r>
        <w:rPr>
          <w:rStyle w:val="43"/>
        </w:rPr>
        <w:instrText xml:space="preserve"> PAGEREF _Toc256000089 \h </w:instrText>
      </w:r>
      <w:r>
        <w:fldChar w:fldCharType="separate"/>
      </w:r>
      <w:r>
        <w:rPr>
          <w:rStyle w:val="43"/>
        </w:rPr>
        <w:t>117</w:t>
      </w:r>
      <w:r>
        <w:fldChar w:fldCharType="end"/>
      </w:r>
      <w:r>
        <w:fldChar w:fldCharType="end"/>
      </w:r>
    </w:p>
    <w:p>
      <w:pPr>
        <w:pStyle w:val="30"/>
        <w:tabs>
          <w:tab w:val="right" w:leader="dot" w:pos="8302"/>
        </w:tabs>
        <w:rPr>
          <w:sz w:val="22"/>
        </w:rPr>
      </w:pPr>
      <w:r>
        <w:fldChar w:fldCharType="begin"/>
      </w:r>
      <w:r>
        <w:instrText xml:space="preserve"> HYPERLINK \l "_Toc256000090" </w:instrText>
      </w:r>
      <w:r>
        <w:fldChar w:fldCharType="separate"/>
      </w:r>
      <w:r>
        <w:rPr>
          <w:rStyle w:val="43"/>
          <w:rFonts w:ascii="黑体" w:hAnsi="黑体" w:cs="黑体"/>
          <w:b/>
        </w:rPr>
        <w:t>三、投标保证金</w:t>
      </w:r>
      <w:r>
        <w:rPr>
          <w:rStyle w:val="43"/>
        </w:rPr>
        <w:tab/>
      </w:r>
      <w:r>
        <w:fldChar w:fldCharType="begin"/>
      </w:r>
      <w:r>
        <w:rPr>
          <w:rStyle w:val="43"/>
        </w:rPr>
        <w:instrText xml:space="preserve"> PAGEREF _Toc256000090 \h </w:instrText>
      </w:r>
      <w:r>
        <w:fldChar w:fldCharType="separate"/>
      </w:r>
      <w:r>
        <w:rPr>
          <w:rStyle w:val="43"/>
        </w:rPr>
        <w:t>119</w:t>
      </w:r>
      <w:r>
        <w:fldChar w:fldCharType="end"/>
      </w:r>
      <w:r>
        <w:fldChar w:fldCharType="end"/>
      </w:r>
    </w:p>
    <w:p>
      <w:pPr>
        <w:pStyle w:val="30"/>
        <w:tabs>
          <w:tab w:val="right" w:leader="dot" w:pos="8302"/>
        </w:tabs>
        <w:rPr>
          <w:sz w:val="22"/>
        </w:rPr>
      </w:pPr>
      <w:r>
        <w:fldChar w:fldCharType="begin"/>
      </w:r>
      <w:r>
        <w:instrText xml:space="preserve"> HYPERLINK \l "_Toc256000091" </w:instrText>
      </w:r>
      <w:r>
        <w:fldChar w:fldCharType="separate"/>
      </w:r>
      <w:r>
        <w:rPr>
          <w:rStyle w:val="43"/>
          <w:rFonts w:ascii="黑体" w:hAnsi="黑体" w:cs="黑体"/>
          <w:b/>
        </w:rPr>
        <w:t>四、已标价工程量清单</w:t>
      </w:r>
      <w:r>
        <w:rPr>
          <w:rStyle w:val="43"/>
        </w:rPr>
        <w:tab/>
      </w:r>
      <w:r>
        <w:fldChar w:fldCharType="begin"/>
      </w:r>
      <w:r>
        <w:rPr>
          <w:rStyle w:val="43"/>
        </w:rPr>
        <w:instrText xml:space="preserve"> PAGEREF _Toc256000091 \h </w:instrText>
      </w:r>
      <w:r>
        <w:fldChar w:fldCharType="separate"/>
      </w:r>
      <w:r>
        <w:rPr>
          <w:rStyle w:val="43"/>
        </w:rPr>
        <w:t>120</w:t>
      </w:r>
      <w:r>
        <w:fldChar w:fldCharType="end"/>
      </w:r>
      <w:r>
        <w:fldChar w:fldCharType="end"/>
      </w:r>
    </w:p>
    <w:p>
      <w:pPr>
        <w:pStyle w:val="30"/>
        <w:tabs>
          <w:tab w:val="right" w:leader="dot" w:pos="8302"/>
        </w:tabs>
        <w:rPr>
          <w:sz w:val="22"/>
        </w:rPr>
      </w:pPr>
      <w:r>
        <w:fldChar w:fldCharType="begin"/>
      </w:r>
      <w:r>
        <w:instrText xml:space="preserve"> HYPERLINK \l "_Toc256000092" </w:instrText>
      </w:r>
      <w:r>
        <w:fldChar w:fldCharType="separate"/>
      </w:r>
      <w:r>
        <w:rPr>
          <w:rStyle w:val="43"/>
          <w:rFonts w:ascii="黑体" w:hAnsi="黑体" w:cs="黑体"/>
          <w:b/>
        </w:rPr>
        <w:t>五、施工组织设计</w:t>
      </w:r>
      <w:r>
        <w:rPr>
          <w:rStyle w:val="43"/>
        </w:rPr>
        <w:tab/>
      </w:r>
      <w:r>
        <w:fldChar w:fldCharType="begin"/>
      </w:r>
      <w:r>
        <w:rPr>
          <w:rStyle w:val="43"/>
        </w:rPr>
        <w:instrText xml:space="preserve"> PAGEREF _Toc256000092 \h </w:instrText>
      </w:r>
      <w:r>
        <w:fldChar w:fldCharType="separate"/>
      </w:r>
      <w:r>
        <w:rPr>
          <w:rStyle w:val="43"/>
        </w:rPr>
        <w:t>121</w:t>
      </w:r>
      <w:r>
        <w:fldChar w:fldCharType="end"/>
      </w:r>
      <w:r>
        <w:fldChar w:fldCharType="end"/>
      </w:r>
    </w:p>
    <w:p>
      <w:pPr>
        <w:pStyle w:val="18"/>
        <w:tabs>
          <w:tab w:val="right" w:leader="dot" w:pos="8302"/>
        </w:tabs>
        <w:rPr>
          <w:sz w:val="22"/>
        </w:rPr>
      </w:pPr>
      <w:r>
        <w:fldChar w:fldCharType="begin"/>
      </w:r>
      <w:r>
        <w:instrText xml:space="preserve"> HYPERLINK \l "_Toc256000093" </w:instrText>
      </w:r>
      <w:r>
        <w:fldChar w:fldCharType="separate"/>
      </w:r>
      <w:r>
        <w:rPr>
          <w:rStyle w:val="43"/>
          <w:rFonts w:hint="eastAsia"/>
        </w:rPr>
        <w:t>附表一：拟投入本标段的主要施工设备表</w:t>
      </w:r>
      <w:r>
        <w:rPr>
          <w:rStyle w:val="43"/>
        </w:rPr>
        <w:tab/>
      </w:r>
      <w:r>
        <w:fldChar w:fldCharType="begin"/>
      </w:r>
      <w:r>
        <w:rPr>
          <w:rStyle w:val="43"/>
        </w:rPr>
        <w:instrText xml:space="preserve"> PAGEREF _Toc256000093 \h </w:instrText>
      </w:r>
      <w:r>
        <w:fldChar w:fldCharType="separate"/>
      </w:r>
      <w:r>
        <w:rPr>
          <w:rStyle w:val="43"/>
        </w:rPr>
        <w:t>123</w:t>
      </w:r>
      <w:r>
        <w:fldChar w:fldCharType="end"/>
      </w:r>
      <w:r>
        <w:fldChar w:fldCharType="end"/>
      </w:r>
    </w:p>
    <w:p>
      <w:pPr>
        <w:pStyle w:val="18"/>
        <w:tabs>
          <w:tab w:val="right" w:leader="dot" w:pos="8302"/>
        </w:tabs>
        <w:rPr>
          <w:sz w:val="22"/>
        </w:rPr>
      </w:pPr>
      <w:r>
        <w:fldChar w:fldCharType="begin"/>
      </w:r>
      <w:r>
        <w:instrText xml:space="preserve"> HYPERLINK \l "_Toc256000094" </w:instrText>
      </w:r>
      <w:r>
        <w:fldChar w:fldCharType="separate"/>
      </w:r>
      <w:r>
        <w:rPr>
          <w:rStyle w:val="43"/>
          <w:rFonts w:hint="eastAsia"/>
        </w:rPr>
        <w:t>附表二：拟投入本标段的试验和检测仪器设备表</w:t>
      </w:r>
      <w:r>
        <w:rPr>
          <w:rStyle w:val="43"/>
        </w:rPr>
        <w:tab/>
      </w:r>
      <w:r>
        <w:fldChar w:fldCharType="begin"/>
      </w:r>
      <w:r>
        <w:rPr>
          <w:rStyle w:val="43"/>
        </w:rPr>
        <w:instrText xml:space="preserve"> PAGEREF _Toc256000094 \h </w:instrText>
      </w:r>
      <w:r>
        <w:fldChar w:fldCharType="separate"/>
      </w:r>
      <w:r>
        <w:rPr>
          <w:rStyle w:val="43"/>
        </w:rPr>
        <w:t>124</w:t>
      </w:r>
      <w:r>
        <w:fldChar w:fldCharType="end"/>
      </w:r>
      <w:r>
        <w:fldChar w:fldCharType="end"/>
      </w:r>
    </w:p>
    <w:p>
      <w:pPr>
        <w:pStyle w:val="18"/>
        <w:tabs>
          <w:tab w:val="right" w:leader="dot" w:pos="8302"/>
        </w:tabs>
        <w:rPr>
          <w:sz w:val="22"/>
        </w:rPr>
      </w:pPr>
      <w:r>
        <w:fldChar w:fldCharType="begin"/>
      </w:r>
      <w:r>
        <w:instrText xml:space="preserve"> HYPERLINK \l "_Toc256000095" </w:instrText>
      </w:r>
      <w:r>
        <w:fldChar w:fldCharType="separate"/>
      </w:r>
      <w:r>
        <w:rPr>
          <w:rStyle w:val="43"/>
          <w:rFonts w:hint="eastAsia"/>
        </w:rPr>
        <w:t>附表三：拟投入本标段的劳动力计划表</w:t>
      </w:r>
      <w:r>
        <w:rPr>
          <w:rStyle w:val="43"/>
        </w:rPr>
        <w:tab/>
      </w:r>
      <w:r>
        <w:fldChar w:fldCharType="begin"/>
      </w:r>
      <w:r>
        <w:rPr>
          <w:rStyle w:val="43"/>
        </w:rPr>
        <w:instrText xml:space="preserve"> PAGEREF _Toc256000095 \h </w:instrText>
      </w:r>
      <w:r>
        <w:fldChar w:fldCharType="separate"/>
      </w:r>
      <w:r>
        <w:rPr>
          <w:rStyle w:val="43"/>
        </w:rPr>
        <w:t>125</w:t>
      </w:r>
      <w:r>
        <w:fldChar w:fldCharType="end"/>
      </w:r>
      <w:r>
        <w:fldChar w:fldCharType="end"/>
      </w:r>
    </w:p>
    <w:p>
      <w:pPr>
        <w:pStyle w:val="18"/>
        <w:tabs>
          <w:tab w:val="right" w:leader="dot" w:pos="8302"/>
        </w:tabs>
        <w:rPr>
          <w:sz w:val="22"/>
        </w:rPr>
      </w:pPr>
      <w:r>
        <w:fldChar w:fldCharType="begin"/>
      </w:r>
      <w:r>
        <w:instrText xml:space="preserve"> HYPERLINK \l "_Toc256000096" </w:instrText>
      </w:r>
      <w:r>
        <w:fldChar w:fldCharType="separate"/>
      </w:r>
      <w:r>
        <w:rPr>
          <w:rStyle w:val="43"/>
          <w:rFonts w:hint="eastAsia"/>
        </w:rPr>
        <w:t>附表四：计划开工日期、完工日期和施工进度网络图</w:t>
      </w:r>
      <w:r>
        <w:rPr>
          <w:rStyle w:val="43"/>
        </w:rPr>
        <w:tab/>
      </w:r>
      <w:r>
        <w:fldChar w:fldCharType="begin"/>
      </w:r>
      <w:r>
        <w:rPr>
          <w:rStyle w:val="43"/>
        </w:rPr>
        <w:instrText xml:space="preserve"> PAGEREF _Toc256000096 \h </w:instrText>
      </w:r>
      <w:r>
        <w:fldChar w:fldCharType="separate"/>
      </w:r>
      <w:r>
        <w:rPr>
          <w:rStyle w:val="43"/>
        </w:rPr>
        <w:t>126</w:t>
      </w:r>
      <w:r>
        <w:fldChar w:fldCharType="end"/>
      </w:r>
      <w:r>
        <w:fldChar w:fldCharType="end"/>
      </w:r>
    </w:p>
    <w:p>
      <w:pPr>
        <w:pStyle w:val="18"/>
        <w:tabs>
          <w:tab w:val="right" w:leader="dot" w:pos="8302"/>
        </w:tabs>
        <w:rPr>
          <w:sz w:val="22"/>
        </w:rPr>
      </w:pPr>
      <w:r>
        <w:fldChar w:fldCharType="begin"/>
      </w:r>
      <w:r>
        <w:instrText xml:space="preserve"> HYPERLINK \l "_Toc256000097" </w:instrText>
      </w:r>
      <w:r>
        <w:fldChar w:fldCharType="separate"/>
      </w:r>
      <w:r>
        <w:rPr>
          <w:rStyle w:val="43"/>
          <w:rFonts w:hint="eastAsia"/>
        </w:rPr>
        <w:t>附表五：施工总平面图</w:t>
      </w:r>
      <w:r>
        <w:rPr>
          <w:rStyle w:val="43"/>
        </w:rPr>
        <w:tab/>
      </w:r>
      <w:r>
        <w:fldChar w:fldCharType="begin"/>
      </w:r>
      <w:r>
        <w:rPr>
          <w:rStyle w:val="43"/>
        </w:rPr>
        <w:instrText xml:space="preserve"> PAGEREF _Toc256000097 \h </w:instrText>
      </w:r>
      <w:r>
        <w:fldChar w:fldCharType="separate"/>
      </w:r>
      <w:r>
        <w:rPr>
          <w:rStyle w:val="43"/>
        </w:rPr>
        <w:t>127</w:t>
      </w:r>
      <w:r>
        <w:fldChar w:fldCharType="end"/>
      </w:r>
      <w:r>
        <w:fldChar w:fldCharType="end"/>
      </w:r>
    </w:p>
    <w:p>
      <w:pPr>
        <w:pStyle w:val="18"/>
        <w:tabs>
          <w:tab w:val="right" w:leader="dot" w:pos="8302"/>
        </w:tabs>
        <w:rPr>
          <w:sz w:val="22"/>
        </w:rPr>
      </w:pPr>
      <w:r>
        <w:fldChar w:fldCharType="begin"/>
      </w:r>
      <w:r>
        <w:instrText xml:space="preserve"> HYPERLINK \l "_Toc256000098" </w:instrText>
      </w:r>
      <w:r>
        <w:fldChar w:fldCharType="separate"/>
      </w:r>
      <w:r>
        <w:rPr>
          <w:rStyle w:val="43"/>
          <w:rFonts w:hint="eastAsia"/>
        </w:rPr>
        <w:t>附表六：临时用地表</w:t>
      </w:r>
      <w:r>
        <w:rPr>
          <w:rStyle w:val="43"/>
        </w:rPr>
        <w:tab/>
      </w:r>
      <w:r>
        <w:fldChar w:fldCharType="begin"/>
      </w:r>
      <w:r>
        <w:rPr>
          <w:rStyle w:val="43"/>
        </w:rPr>
        <w:instrText xml:space="preserve"> PAGEREF _Toc256000098 \h </w:instrText>
      </w:r>
      <w:r>
        <w:fldChar w:fldCharType="separate"/>
      </w:r>
      <w:r>
        <w:rPr>
          <w:rStyle w:val="43"/>
        </w:rPr>
        <w:t>128</w:t>
      </w:r>
      <w:r>
        <w:fldChar w:fldCharType="end"/>
      </w:r>
      <w:r>
        <w:fldChar w:fldCharType="end"/>
      </w:r>
    </w:p>
    <w:p>
      <w:pPr>
        <w:pStyle w:val="30"/>
        <w:tabs>
          <w:tab w:val="right" w:leader="dot" w:pos="8302"/>
        </w:tabs>
        <w:rPr>
          <w:sz w:val="22"/>
        </w:rPr>
      </w:pPr>
      <w:r>
        <w:fldChar w:fldCharType="begin"/>
      </w:r>
      <w:r>
        <w:instrText xml:space="preserve"> HYPERLINK \l "_Toc256000099" </w:instrText>
      </w:r>
      <w:r>
        <w:fldChar w:fldCharType="separate"/>
      </w:r>
      <w:r>
        <w:rPr>
          <w:rStyle w:val="43"/>
          <w:rFonts w:ascii="黑体" w:hAnsi="黑体" w:cs="黑体"/>
          <w:b/>
        </w:rPr>
        <w:t>六、项目管理机构</w:t>
      </w:r>
      <w:r>
        <w:rPr>
          <w:rStyle w:val="43"/>
        </w:rPr>
        <w:tab/>
      </w:r>
      <w:r>
        <w:fldChar w:fldCharType="begin"/>
      </w:r>
      <w:r>
        <w:rPr>
          <w:rStyle w:val="43"/>
        </w:rPr>
        <w:instrText xml:space="preserve"> PAGEREF _Toc256000099 \h </w:instrText>
      </w:r>
      <w:r>
        <w:fldChar w:fldCharType="separate"/>
      </w:r>
      <w:r>
        <w:rPr>
          <w:rStyle w:val="43"/>
        </w:rPr>
        <w:t>129</w:t>
      </w:r>
      <w:r>
        <w:fldChar w:fldCharType="end"/>
      </w:r>
      <w:r>
        <w:fldChar w:fldCharType="end"/>
      </w:r>
    </w:p>
    <w:p>
      <w:pPr>
        <w:pStyle w:val="18"/>
        <w:tabs>
          <w:tab w:val="right" w:leader="dot" w:pos="8302"/>
        </w:tabs>
        <w:rPr>
          <w:sz w:val="22"/>
        </w:rPr>
      </w:pPr>
      <w:r>
        <w:fldChar w:fldCharType="begin"/>
      </w:r>
      <w:r>
        <w:instrText xml:space="preserve"> HYPERLINK \l "_Toc256000100" </w:instrText>
      </w:r>
      <w:r>
        <w:fldChar w:fldCharType="separate"/>
      </w:r>
      <w:r>
        <w:rPr>
          <w:rStyle w:val="43"/>
          <w:rFonts w:ascii="黑体" w:hAnsi="黑体" w:cs="黑体"/>
          <w:b/>
        </w:rPr>
        <w:t>(一)项目管理机构组成表</w:t>
      </w:r>
      <w:r>
        <w:rPr>
          <w:rStyle w:val="43"/>
        </w:rPr>
        <w:tab/>
      </w:r>
      <w:r>
        <w:fldChar w:fldCharType="begin"/>
      </w:r>
      <w:r>
        <w:rPr>
          <w:rStyle w:val="43"/>
        </w:rPr>
        <w:instrText xml:space="preserve"> PAGEREF _Toc256000100 \h </w:instrText>
      </w:r>
      <w:r>
        <w:fldChar w:fldCharType="separate"/>
      </w:r>
      <w:r>
        <w:rPr>
          <w:rStyle w:val="43"/>
        </w:rPr>
        <w:t>130</w:t>
      </w:r>
      <w:r>
        <w:fldChar w:fldCharType="end"/>
      </w:r>
      <w:r>
        <w:fldChar w:fldCharType="end"/>
      </w:r>
    </w:p>
    <w:p>
      <w:pPr>
        <w:pStyle w:val="18"/>
        <w:tabs>
          <w:tab w:val="right" w:leader="dot" w:pos="8302"/>
        </w:tabs>
        <w:rPr>
          <w:sz w:val="22"/>
        </w:rPr>
      </w:pPr>
      <w:r>
        <w:fldChar w:fldCharType="begin"/>
      </w:r>
      <w:r>
        <w:instrText xml:space="preserve"> HYPERLINK \l "_Toc256000101" </w:instrText>
      </w:r>
      <w:r>
        <w:fldChar w:fldCharType="separate"/>
      </w:r>
      <w:r>
        <w:rPr>
          <w:rStyle w:val="43"/>
          <w:rFonts w:ascii="黑体" w:hAnsi="黑体" w:cs="黑体"/>
          <w:b/>
        </w:rPr>
        <w:t>(二)主要人员简历表</w:t>
      </w:r>
      <w:r>
        <w:rPr>
          <w:rStyle w:val="43"/>
        </w:rPr>
        <w:tab/>
      </w:r>
      <w:r>
        <w:fldChar w:fldCharType="begin"/>
      </w:r>
      <w:r>
        <w:rPr>
          <w:rStyle w:val="43"/>
        </w:rPr>
        <w:instrText xml:space="preserve"> PAGEREF _Toc256000101 \h </w:instrText>
      </w:r>
      <w:r>
        <w:fldChar w:fldCharType="separate"/>
      </w:r>
      <w:r>
        <w:rPr>
          <w:rStyle w:val="43"/>
        </w:rPr>
        <w:t>131</w:t>
      </w:r>
      <w:r>
        <w:fldChar w:fldCharType="end"/>
      </w:r>
      <w:r>
        <w:fldChar w:fldCharType="end"/>
      </w:r>
    </w:p>
    <w:p>
      <w:pPr>
        <w:pStyle w:val="30"/>
        <w:tabs>
          <w:tab w:val="right" w:leader="dot" w:pos="8302"/>
        </w:tabs>
        <w:rPr>
          <w:sz w:val="22"/>
        </w:rPr>
      </w:pPr>
      <w:r>
        <w:fldChar w:fldCharType="begin"/>
      </w:r>
      <w:r>
        <w:instrText xml:space="preserve"> HYPERLINK \l "_Toc256000102" </w:instrText>
      </w:r>
      <w:r>
        <w:fldChar w:fldCharType="separate"/>
      </w:r>
      <w:r>
        <w:rPr>
          <w:rStyle w:val="43"/>
          <w:rFonts w:ascii="黑体" w:hAnsi="黑体" w:cs="黑体"/>
          <w:b/>
        </w:rPr>
        <w:t>七、拟分包项目情况表</w:t>
      </w:r>
      <w:r>
        <w:rPr>
          <w:rStyle w:val="43"/>
        </w:rPr>
        <w:tab/>
      </w:r>
      <w:r>
        <w:fldChar w:fldCharType="begin"/>
      </w:r>
      <w:r>
        <w:rPr>
          <w:rStyle w:val="43"/>
        </w:rPr>
        <w:instrText xml:space="preserve"> PAGEREF _Toc256000102 \h </w:instrText>
      </w:r>
      <w:r>
        <w:fldChar w:fldCharType="separate"/>
      </w:r>
      <w:r>
        <w:rPr>
          <w:rStyle w:val="43"/>
        </w:rPr>
        <w:t>132</w:t>
      </w:r>
      <w:r>
        <w:fldChar w:fldCharType="end"/>
      </w:r>
      <w:r>
        <w:fldChar w:fldCharType="end"/>
      </w:r>
    </w:p>
    <w:p>
      <w:pPr>
        <w:pStyle w:val="30"/>
        <w:tabs>
          <w:tab w:val="right" w:leader="dot" w:pos="8302"/>
        </w:tabs>
        <w:rPr>
          <w:sz w:val="22"/>
        </w:rPr>
      </w:pPr>
      <w:r>
        <w:fldChar w:fldCharType="begin"/>
      </w:r>
      <w:r>
        <w:instrText xml:space="preserve"> HYPERLINK \l "_Toc256000103" </w:instrText>
      </w:r>
      <w:r>
        <w:fldChar w:fldCharType="separate"/>
      </w:r>
      <w:r>
        <w:rPr>
          <w:rStyle w:val="43"/>
          <w:rFonts w:ascii="黑体" w:hAnsi="黑体" w:cs="黑体"/>
          <w:b/>
        </w:rPr>
        <w:t>八、资格审查资料</w:t>
      </w:r>
      <w:r>
        <w:rPr>
          <w:rStyle w:val="43"/>
        </w:rPr>
        <w:tab/>
      </w:r>
      <w:r>
        <w:fldChar w:fldCharType="begin"/>
      </w:r>
      <w:r>
        <w:rPr>
          <w:rStyle w:val="43"/>
        </w:rPr>
        <w:instrText xml:space="preserve"> PAGEREF _Toc256000103 \h </w:instrText>
      </w:r>
      <w:r>
        <w:fldChar w:fldCharType="separate"/>
      </w:r>
      <w:r>
        <w:rPr>
          <w:rStyle w:val="43"/>
        </w:rPr>
        <w:t>133</w:t>
      </w:r>
      <w:r>
        <w:fldChar w:fldCharType="end"/>
      </w:r>
      <w:r>
        <w:fldChar w:fldCharType="end"/>
      </w:r>
    </w:p>
    <w:p>
      <w:pPr>
        <w:pStyle w:val="18"/>
        <w:tabs>
          <w:tab w:val="right" w:leader="dot" w:pos="8302"/>
        </w:tabs>
        <w:rPr>
          <w:sz w:val="22"/>
        </w:rPr>
      </w:pPr>
      <w:r>
        <w:fldChar w:fldCharType="begin"/>
      </w:r>
      <w:r>
        <w:instrText xml:space="preserve"> HYPERLINK \l "_Toc256000104" </w:instrText>
      </w:r>
      <w:r>
        <w:fldChar w:fldCharType="separate"/>
      </w:r>
      <w:r>
        <w:rPr>
          <w:rStyle w:val="43"/>
          <w:rFonts w:ascii="黑体" w:hAnsi="黑体" w:cs="黑体"/>
          <w:b/>
        </w:rPr>
        <w:t>(一)投标人基本情况表</w:t>
      </w:r>
      <w:r>
        <w:rPr>
          <w:rStyle w:val="43"/>
        </w:rPr>
        <w:tab/>
      </w:r>
      <w:r>
        <w:fldChar w:fldCharType="begin"/>
      </w:r>
      <w:r>
        <w:rPr>
          <w:rStyle w:val="43"/>
        </w:rPr>
        <w:instrText xml:space="preserve"> PAGEREF _Toc256000104 \h </w:instrText>
      </w:r>
      <w:r>
        <w:fldChar w:fldCharType="separate"/>
      </w:r>
      <w:r>
        <w:rPr>
          <w:rStyle w:val="43"/>
        </w:rPr>
        <w:t>134</w:t>
      </w:r>
      <w:r>
        <w:fldChar w:fldCharType="end"/>
      </w:r>
      <w:r>
        <w:fldChar w:fldCharType="end"/>
      </w:r>
    </w:p>
    <w:p>
      <w:pPr>
        <w:pStyle w:val="18"/>
        <w:tabs>
          <w:tab w:val="right" w:leader="dot" w:pos="8302"/>
        </w:tabs>
        <w:rPr>
          <w:sz w:val="22"/>
        </w:rPr>
      </w:pPr>
      <w:r>
        <w:fldChar w:fldCharType="begin"/>
      </w:r>
      <w:r>
        <w:instrText xml:space="preserve"> HYPERLINK \l "_Toc256000105" </w:instrText>
      </w:r>
      <w:r>
        <w:fldChar w:fldCharType="separate"/>
      </w:r>
      <w:r>
        <w:rPr>
          <w:rStyle w:val="43"/>
          <w:rFonts w:ascii="黑体" w:hAnsi="黑体" w:cs="黑体"/>
          <w:b/>
        </w:rPr>
        <w:t>(二)近3年财务状况表</w:t>
      </w:r>
      <w:r>
        <w:rPr>
          <w:rStyle w:val="43"/>
        </w:rPr>
        <w:tab/>
      </w:r>
      <w:r>
        <w:fldChar w:fldCharType="begin"/>
      </w:r>
      <w:r>
        <w:rPr>
          <w:rStyle w:val="43"/>
        </w:rPr>
        <w:instrText xml:space="preserve"> PAGEREF _Toc256000105 \h </w:instrText>
      </w:r>
      <w:r>
        <w:fldChar w:fldCharType="separate"/>
      </w:r>
      <w:r>
        <w:rPr>
          <w:rStyle w:val="43"/>
        </w:rPr>
        <w:t>135</w:t>
      </w:r>
      <w:r>
        <w:fldChar w:fldCharType="end"/>
      </w:r>
      <w:r>
        <w:fldChar w:fldCharType="end"/>
      </w:r>
    </w:p>
    <w:p>
      <w:pPr>
        <w:pStyle w:val="18"/>
        <w:tabs>
          <w:tab w:val="right" w:leader="dot" w:pos="8302"/>
        </w:tabs>
        <w:rPr>
          <w:sz w:val="22"/>
        </w:rPr>
      </w:pPr>
      <w:r>
        <w:fldChar w:fldCharType="begin"/>
      </w:r>
      <w:r>
        <w:instrText xml:space="preserve"> HYPERLINK \l "_Toc256000106" </w:instrText>
      </w:r>
      <w:r>
        <w:fldChar w:fldCharType="separate"/>
      </w:r>
      <w:r>
        <w:rPr>
          <w:rStyle w:val="43"/>
          <w:rFonts w:ascii="黑体" w:hAnsi="黑体" w:cs="黑体"/>
          <w:b/>
        </w:rPr>
        <w:t>(三)近5年完成的类似项目情况表</w:t>
      </w:r>
      <w:r>
        <w:rPr>
          <w:rStyle w:val="43"/>
        </w:rPr>
        <w:tab/>
      </w:r>
      <w:r>
        <w:fldChar w:fldCharType="begin"/>
      </w:r>
      <w:r>
        <w:rPr>
          <w:rStyle w:val="43"/>
        </w:rPr>
        <w:instrText xml:space="preserve"> PAGEREF _Toc256000106 \h </w:instrText>
      </w:r>
      <w:r>
        <w:fldChar w:fldCharType="separate"/>
      </w:r>
      <w:r>
        <w:rPr>
          <w:rStyle w:val="43"/>
        </w:rPr>
        <w:t>136</w:t>
      </w:r>
      <w:r>
        <w:fldChar w:fldCharType="end"/>
      </w:r>
      <w:r>
        <w:fldChar w:fldCharType="end"/>
      </w:r>
    </w:p>
    <w:p>
      <w:pPr>
        <w:pStyle w:val="18"/>
        <w:tabs>
          <w:tab w:val="right" w:leader="dot" w:pos="8302"/>
        </w:tabs>
        <w:rPr>
          <w:sz w:val="22"/>
        </w:rPr>
      </w:pPr>
      <w:r>
        <w:fldChar w:fldCharType="begin"/>
      </w:r>
      <w:r>
        <w:instrText xml:space="preserve"> HYPERLINK \l "_Toc256000107" </w:instrText>
      </w:r>
      <w:r>
        <w:fldChar w:fldCharType="separate"/>
      </w:r>
      <w:r>
        <w:rPr>
          <w:rStyle w:val="43"/>
          <w:rFonts w:ascii="黑体" w:hAnsi="黑体" w:cs="黑体"/>
          <w:b/>
        </w:rPr>
        <w:t>(四)正在施工的和新承接的项目情况表</w:t>
      </w:r>
      <w:r>
        <w:rPr>
          <w:rStyle w:val="43"/>
        </w:rPr>
        <w:tab/>
      </w:r>
      <w:r>
        <w:fldChar w:fldCharType="begin"/>
      </w:r>
      <w:r>
        <w:rPr>
          <w:rStyle w:val="43"/>
        </w:rPr>
        <w:instrText xml:space="preserve"> PAGEREF _Toc256000107 \h </w:instrText>
      </w:r>
      <w:r>
        <w:fldChar w:fldCharType="separate"/>
      </w:r>
      <w:r>
        <w:rPr>
          <w:rStyle w:val="43"/>
        </w:rPr>
        <w:t>137</w:t>
      </w:r>
      <w:r>
        <w:fldChar w:fldCharType="end"/>
      </w:r>
      <w:r>
        <w:fldChar w:fldCharType="end"/>
      </w:r>
    </w:p>
    <w:p>
      <w:pPr>
        <w:pStyle w:val="18"/>
        <w:tabs>
          <w:tab w:val="right" w:leader="dot" w:pos="8302"/>
        </w:tabs>
        <w:rPr>
          <w:sz w:val="22"/>
        </w:rPr>
      </w:pPr>
      <w:r>
        <w:fldChar w:fldCharType="begin"/>
      </w:r>
      <w:r>
        <w:instrText xml:space="preserve"> HYPERLINK \l "_Toc256000108" </w:instrText>
      </w:r>
      <w:r>
        <w:fldChar w:fldCharType="separate"/>
      </w:r>
      <w:r>
        <w:rPr>
          <w:rStyle w:val="43"/>
          <w:rFonts w:ascii="黑体" w:hAnsi="黑体" w:cs="黑体"/>
          <w:b/>
        </w:rPr>
        <w:t>(五)近3年发生的诉讼及仲裁情况</w:t>
      </w:r>
      <w:r>
        <w:rPr>
          <w:rStyle w:val="43"/>
        </w:rPr>
        <w:tab/>
      </w:r>
      <w:r>
        <w:fldChar w:fldCharType="begin"/>
      </w:r>
      <w:r>
        <w:rPr>
          <w:rStyle w:val="43"/>
        </w:rPr>
        <w:instrText xml:space="preserve"> PAGEREF _Toc256000108 \h </w:instrText>
      </w:r>
      <w:r>
        <w:fldChar w:fldCharType="separate"/>
      </w:r>
      <w:r>
        <w:rPr>
          <w:rStyle w:val="43"/>
        </w:rPr>
        <w:t>138</w:t>
      </w:r>
      <w:r>
        <w:fldChar w:fldCharType="end"/>
      </w:r>
      <w:r>
        <w:fldChar w:fldCharType="end"/>
      </w:r>
    </w:p>
    <w:p>
      <w:pPr>
        <w:pStyle w:val="18"/>
        <w:tabs>
          <w:tab w:val="right" w:leader="dot" w:pos="8302"/>
        </w:tabs>
        <w:rPr>
          <w:sz w:val="22"/>
        </w:rPr>
      </w:pPr>
      <w:r>
        <w:fldChar w:fldCharType="begin"/>
      </w:r>
      <w:r>
        <w:instrText xml:space="preserve"> HYPERLINK \l "_Toc256000109" </w:instrText>
      </w:r>
      <w:r>
        <w:fldChar w:fldCharType="separate"/>
      </w:r>
      <w:r>
        <w:rPr>
          <w:rStyle w:val="43"/>
          <w:rFonts w:ascii="黑体" w:hAnsi="黑体" w:cs="黑体"/>
          <w:b/>
        </w:rPr>
        <w:t>(六)资格审查自审表</w:t>
      </w:r>
      <w:r>
        <w:rPr>
          <w:rStyle w:val="43"/>
        </w:rPr>
        <w:tab/>
      </w:r>
      <w:r>
        <w:fldChar w:fldCharType="begin"/>
      </w:r>
      <w:r>
        <w:rPr>
          <w:rStyle w:val="43"/>
        </w:rPr>
        <w:instrText xml:space="preserve"> PAGEREF _Toc256000109 \h </w:instrText>
      </w:r>
      <w:r>
        <w:fldChar w:fldCharType="separate"/>
      </w:r>
      <w:r>
        <w:rPr>
          <w:rStyle w:val="43"/>
        </w:rPr>
        <w:t>139</w:t>
      </w:r>
      <w:r>
        <w:fldChar w:fldCharType="end"/>
      </w:r>
      <w:r>
        <w:fldChar w:fldCharType="end"/>
      </w:r>
    </w:p>
    <w:p>
      <w:pPr>
        <w:pStyle w:val="18"/>
        <w:tabs>
          <w:tab w:val="right" w:leader="dot" w:pos="8302"/>
        </w:tabs>
        <w:rPr>
          <w:sz w:val="22"/>
        </w:rPr>
      </w:pPr>
      <w:r>
        <w:fldChar w:fldCharType="begin"/>
      </w:r>
      <w:r>
        <w:instrText xml:space="preserve"> HYPERLINK \l "_Toc256000110" </w:instrText>
      </w:r>
      <w:r>
        <w:fldChar w:fldCharType="separate"/>
      </w:r>
      <w:r>
        <w:rPr>
          <w:rStyle w:val="43"/>
          <w:rFonts w:hint="eastAsia"/>
        </w:rPr>
        <w:t>（六）、资格审查自审表</w:t>
      </w:r>
      <w:r>
        <w:rPr>
          <w:rStyle w:val="43"/>
        </w:rPr>
        <w:tab/>
      </w:r>
      <w:r>
        <w:fldChar w:fldCharType="begin"/>
      </w:r>
      <w:r>
        <w:rPr>
          <w:rStyle w:val="43"/>
        </w:rPr>
        <w:instrText xml:space="preserve"> PAGEREF _Toc256000110 \h </w:instrText>
      </w:r>
      <w:r>
        <w:fldChar w:fldCharType="separate"/>
      </w:r>
      <w:r>
        <w:rPr>
          <w:rStyle w:val="43"/>
        </w:rPr>
        <w:t>139</w:t>
      </w:r>
      <w:r>
        <w:fldChar w:fldCharType="end"/>
      </w:r>
      <w:r>
        <w:fldChar w:fldCharType="end"/>
      </w:r>
    </w:p>
    <w:p>
      <w:pPr>
        <w:pStyle w:val="30"/>
        <w:tabs>
          <w:tab w:val="right" w:leader="dot" w:pos="8302"/>
        </w:tabs>
        <w:rPr>
          <w:sz w:val="22"/>
        </w:rPr>
      </w:pPr>
      <w:r>
        <w:fldChar w:fldCharType="begin"/>
      </w:r>
      <w:r>
        <w:instrText xml:space="preserve"> HYPERLINK \l "_Toc256000111" </w:instrText>
      </w:r>
      <w:r>
        <w:fldChar w:fldCharType="separate"/>
      </w:r>
      <w:r>
        <w:rPr>
          <w:rStyle w:val="43"/>
          <w:rFonts w:ascii="黑体" w:hAnsi="黑体" w:cs="黑体"/>
          <w:b/>
        </w:rPr>
        <w:t>九、原件的复印件</w:t>
      </w:r>
      <w:r>
        <w:rPr>
          <w:rStyle w:val="43"/>
        </w:rPr>
        <w:tab/>
      </w:r>
      <w:r>
        <w:fldChar w:fldCharType="begin"/>
      </w:r>
      <w:r>
        <w:rPr>
          <w:rStyle w:val="43"/>
        </w:rPr>
        <w:instrText xml:space="preserve"> PAGEREF _Toc256000111 \h </w:instrText>
      </w:r>
      <w:r>
        <w:fldChar w:fldCharType="separate"/>
      </w:r>
      <w:r>
        <w:rPr>
          <w:rStyle w:val="43"/>
        </w:rPr>
        <w:t>140</w:t>
      </w:r>
      <w:r>
        <w:fldChar w:fldCharType="end"/>
      </w:r>
      <w:r>
        <w:fldChar w:fldCharType="end"/>
      </w:r>
    </w:p>
    <w:p>
      <w:pPr>
        <w:pStyle w:val="30"/>
        <w:tabs>
          <w:tab w:val="right" w:leader="dot" w:pos="8302"/>
        </w:tabs>
        <w:rPr>
          <w:sz w:val="22"/>
        </w:rPr>
      </w:pPr>
      <w:r>
        <w:fldChar w:fldCharType="begin"/>
      </w:r>
      <w:r>
        <w:instrText xml:space="preserve"> HYPERLINK \l "_Toc256000112" </w:instrText>
      </w:r>
      <w:r>
        <w:fldChar w:fldCharType="separate"/>
      </w:r>
      <w:r>
        <w:rPr>
          <w:rStyle w:val="43"/>
          <w:rFonts w:ascii="黑体" w:hAnsi="黑体" w:cs="黑体"/>
          <w:b/>
        </w:rPr>
        <w:t>十、投标人告知承诺书</w:t>
      </w:r>
      <w:r>
        <w:rPr>
          <w:rStyle w:val="43"/>
        </w:rPr>
        <w:tab/>
      </w:r>
      <w:r>
        <w:fldChar w:fldCharType="begin"/>
      </w:r>
      <w:r>
        <w:rPr>
          <w:rStyle w:val="43"/>
        </w:rPr>
        <w:instrText xml:space="preserve"> PAGEREF _Toc256000112 \h </w:instrText>
      </w:r>
      <w:r>
        <w:fldChar w:fldCharType="separate"/>
      </w:r>
      <w:r>
        <w:rPr>
          <w:rStyle w:val="43"/>
        </w:rPr>
        <w:t>141</w:t>
      </w:r>
      <w:r>
        <w:fldChar w:fldCharType="end"/>
      </w:r>
      <w:r>
        <w:fldChar w:fldCharType="end"/>
      </w:r>
    </w:p>
    <w:p>
      <w:pPr>
        <w:pStyle w:val="30"/>
        <w:tabs>
          <w:tab w:val="right" w:leader="dot" w:pos="8302"/>
        </w:tabs>
        <w:rPr>
          <w:sz w:val="22"/>
        </w:rPr>
      </w:pPr>
      <w:r>
        <w:fldChar w:fldCharType="begin"/>
      </w:r>
      <w:r>
        <w:instrText xml:space="preserve"> HYPERLINK \l "_Toc256000113" </w:instrText>
      </w:r>
      <w:r>
        <w:fldChar w:fldCharType="separate"/>
      </w:r>
      <w:r>
        <w:rPr>
          <w:rStyle w:val="43"/>
          <w:rFonts w:ascii="黑体" w:hAnsi="黑体" w:cs="黑体"/>
          <w:b/>
        </w:rPr>
        <w:t>十二、其他材料</w:t>
      </w:r>
      <w:r>
        <w:rPr>
          <w:rStyle w:val="43"/>
        </w:rPr>
        <w:tab/>
      </w:r>
      <w:r>
        <w:fldChar w:fldCharType="begin"/>
      </w:r>
      <w:r>
        <w:rPr>
          <w:rStyle w:val="43"/>
        </w:rPr>
        <w:instrText xml:space="preserve"> PAGEREF _Toc256000113 \h </w:instrText>
      </w:r>
      <w:r>
        <w:fldChar w:fldCharType="separate"/>
      </w:r>
      <w:r>
        <w:rPr>
          <w:rStyle w:val="43"/>
        </w:rPr>
        <w:t>143</w:t>
      </w:r>
      <w:r>
        <w:fldChar w:fldCharType="end"/>
      </w:r>
      <w:r>
        <w:fldChar w:fldCharType="end"/>
      </w:r>
    </w:p>
    <w:p>
      <w:pPr>
        <w:pStyle w:val="18"/>
        <w:tabs>
          <w:tab w:val="right" w:leader="dot" w:pos="8302"/>
        </w:tabs>
        <w:rPr>
          <w:sz w:val="22"/>
        </w:rPr>
      </w:pPr>
      <w:r>
        <w:fldChar w:fldCharType="begin"/>
      </w:r>
      <w:r>
        <w:instrText xml:space="preserve"> HYPERLINK \l "_Toc256000114" </w:instrText>
      </w:r>
      <w:r>
        <w:fldChar w:fldCharType="separate"/>
      </w:r>
      <w:r>
        <w:rPr>
          <w:rStyle w:val="43"/>
          <w:rFonts w:ascii="黑体" w:hAnsi="黑体" w:cs="黑体"/>
          <w:b/>
        </w:rPr>
        <w:t>十二.一、其他</w:t>
      </w:r>
      <w:r>
        <w:rPr>
          <w:rStyle w:val="43"/>
        </w:rPr>
        <w:tab/>
      </w:r>
      <w:r>
        <w:fldChar w:fldCharType="begin"/>
      </w:r>
      <w:r>
        <w:rPr>
          <w:rStyle w:val="43"/>
        </w:rPr>
        <w:instrText xml:space="preserve"> PAGEREF _Toc256000114 \h </w:instrText>
      </w:r>
      <w:r>
        <w:fldChar w:fldCharType="separate"/>
      </w:r>
      <w:r>
        <w:rPr>
          <w:rStyle w:val="43"/>
        </w:rPr>
        <w:t>144</w:t>
      </w:r>
      <w:r>
        <w:fldChar w:fldCharType="end"/>
      </w:r>
      <w:r>
        <w:fldChar w:fldCharType="end"/>
      </w:r>
    </w:p>
    <w:p>
      <w:r>
        <w:fldChar w:fldCharType="end"/>
      </w:r>
    </w:p>
    <w:p/>
    <w:p/>
    <w:p/>
    <w:p/>
    <w:p/>
    <w:p/>
    <w:p/>
    <w:p/>
    <w:p/>
    <w:p/>
    <w:p/>
    <w:p/>
    <w:p/>
    <w:p/>
    <w:p/>
    <w:p/>
    <w:p>
      <w:pPr>
        <w:pStyle w:val="2"/>
        <w:spacing w:before="120" w:after="120" w:line="400" w:lineRule="exact"/>
        <w:jc w:val="center"/>
        <w:rPr>
          <w:rFonts w:ascii="宋体" w:hAnsi="宋体"/>
          <w:bCs w:val="0"/>
          <w:color w:val="000000"/>
          <w:sz w:val="51"/>
          <w:szCs w:val="31"/>
        </w:rPr>
      </w:pPr>
      <w:bookmarkStart w:id="4" w:name="_Toc256000001"/>
      <w:bookmarkStart w:id="5" w:name="_Toc49869946"/>
      <w:r>
        <w:rPr>
          <w:rFonts w:hint="eastAsia" w:ascii="宋体" w:hAnsi="宋体"/>
          <w:bCs w:val="0"/>
          <w:color w:val="000000"/>
          <w:sz w:val="51"/>
          <w:szCs w:val="31"/>
          <w:highlight w:val="white"/>
        </w:rPr>
        <w:t>第 一 卷</w:t>
      </w:r>
      <w:bookmarkEnd w:id="4"/>
      <w:bookmarkEnd w:id="5"/>
    </w:p>
    <w:p>
      <w:pPr>
        <w:rPr>
          <w:color w:val="000080"/>
          <w:sz w:val="20"/>
          <w:highlight w:val="magenta"/>
        </w:rPr>
      </w:pPr>
      <w:r>
        <w:rPr>
          <w:highlight w:val="white"/>
        </w:rPr>
        <w:br w:type="page"/>
      </w:r>
    </w:p>
    <w:p>
      <w:pPr>
        <w:pStyle w:val="2"/>
        <w:numPr>
          <w:ilvl w:val="0"/>
          <w:numId w:val="1"/>
        </w:numPr>
        <w:spacing w:before="120" w:after="120" w:line="400" w:lineRule="exact"/>
        <w:jc w:val="center"/>
        <w:rPr>
          <w:rFonts w:ascii="黑体" w:hAnsi="黑体" w:eastAsia="黑体"/>
          <w:bCs w:val="0"/>
          <w:color w:val="000000"/>
          <w:sz w:val="31"/>
          <w:szCs w:val="31"/>
        </w:rPr>
      </w:pPr>
      <w:bookmarkStart w:id="6" w:name="_Toc256000002"/>
      <w:bookmarkStart w:id="7" w:name="_Toc49869947"/>
      <w:r>
        <w:rPr>
          <w:rFonts w:hint="eastAsia" w:ascii="黑体" w:hAnsi="黑体" w:eastAsia="黑体"/>
          <w:bCs w:val="0"/>
          <w:color w:val="000000"/>
          <w:sz w:val="31"/>
          <w:szCs w:val="31"/>
          <w:highlight w:val="white"/>
        </w:rPr>
        <w:t>招标公告（适用于未进行资格预审）</w:t>
      </w:r>
      <w:bookmarkEnd w:id="6"/>
      <w:bookmarkEnd w:id="7"/>
    </w:p>
    <w:p>
      <w:pPr>
        <w:rPr>
          <w:highlight w:val="red"/>
        </w:rPr>
      </w:pPr>
      <w:bookmarkStart w:id="8" w:name="EB60acb842f7b54cdeabe6df15a9c28e15"/>
    </w:p>
    <w:bookmarkEnd w:id="8"/>
    <w:p>
      <w:pPr>
        <w:pStyle w:val="63"/>
        <w:jc w:val="center"/>
        <w:outlineLvl w:val="0"/>
        <w:rPr>
          <w:rFonts w:ascii="宋体" w:hAnsi="宋体" w:eastAsia="宋体" w:cs="宋体"/>
          <w:kern w:val="2"/>
          <w:sz w:val="21"/>
          <w:szCs w:val="21"/>
        </w:rPr>
      </w:pPr>
      <w:bookmarkStart w:id="9" w:name="_Toc256000003"/>
      <w:bookmarkStart w:id="10" w:name="OLE_LINK1"/>
      <w:bookmarkStart w:id="11" w:name="OLE_LINK2"/>
      <w:r>
        <w:rPr>
          <w:rFonts w:hint="eastAsia" w:ascii="宋体" w:hAnsi="宋体" w:eastAsia="宋体" w:cs="宋体"/>
          <w:b/>
          <w:bCs/>
          <w:kern w:val="2"/>
          <w:sz w:val="32"/>
        </w:rPr>
        <w:t>招标公告</w:t>
      </w:r>
      <w:bookmarkEnd w:id="9"/>
    </w:p>
    <w:bookmarkEnd w:id="10"/>
    <w:bookmarkEnd w:id="11"/>
    <w:tbl>
      <w:tblPr>
        <w:tblStyle w:val="140"/>
        <w:tblW w:w="8845"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8"/>
        <w:gridCol w:w="3018"/>
        <w:gridCol w:w="91"/>
        <w:gridCol w:w="3"/>
        <w:gridCol w:w="1183"/>
        <w:gridCol w:w="313"/>
        <w:gridCol w:w="32"/>
        <w:gridCol w:w="31"/>
        <w:gridCol w:w="65"/>
        <w:gridCol w:w="2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28" w:type="dxa"/>
            <w:noWrap w:val="0"/>
            <w:vAlign w:val="center"/>
          </w:tcPr>
          <w:p>
            <w:pPr>
              <w:pStyle w:val="139"/>
              <w:spacing w:before="213" w:line="221" w:lineRule="auto"/>
              <w:ind w:left="114"/>
              <w:jc w:val="both"/>
              <w:rPr>
                <w:color w:val="000000"/>
              </w:rPr>
            </w:pPr>
            <w:r>
              <w:rPr>
                <w:color w:val="000000"/>
                <w:spacing w:val="-2"/>
              </w:rPr>
              <w:t>监督部门</w:t>
            </w:r>
          </w:p>
        </w:tc>
        <w:tc>
          <w:tcPr>
            <w:tcW w:w="3112" w:type="dxa"/>
            <w:gridSpan w:val="3"/>
            <w:noWrap w:val="0"/>
            <w:vAlign w:val="center"/>
          </w:tcPr>
          <w:p>
            <w:pPr>
              <w:pStyle w:val="139"/>
              <w:spacing w:before="59" w:line="247" w:lineRule="auto"/>
              <w:ind w:left="111" w:leftChars="0" w:right="104" w:rightChars="0"/>
              <w:jc w:val="both"/>
              <w:rPr>
                <w:color w:val="000000"/>
              </w:rPr>
            </w:pPr>
            <w:r>
              <w:rPr>
                <w:rFonts w:hint="eastAsia"/>
                <w:color w:val="000000"/>
                <w:highlight w:val="none"/>
              </w:rPr>
              <w:t>大石桥市发展和改革局</w:t>
            </w:r>
          </w:p>
        </w:tc>
        <w:tc>
          <w:tcPr>
            <w:tcW w:w="1624" w:type="dxa"/>
            <w:gridSpan w:val="5"/>
            <w:noWrap w:val="0"/>
            <w:vAlign w:val="center"/>
          </w:tcPr>
          <w:p>
            <w:pPr>
              <w:pStyle w:val="139"/>
              <w:spacing w:before="213" w:line="221" w:lineRule="auto"/>
              <w:ind w:left="121" w:leftChars="0"/>
              <w:jc w:val="both"/>
              <w:rPr>
                <w:color w:val="000000"/>
              </w:rPr>
            </w:pPr>
            <w:r>
              <w:rPr>
                <w:color w:val="000000"/>
                <w:spacing w:val="-3"/>
                <w:highlight w:val="none"/>
              </w:rPr>
              <w:t>项目来源</w:t>
            </w:r>
          </w:p>
        </w:tc>
        <w:tc>
          <w:tcPr>
            <w:tcW w:w="2581" w:type="dxa"/>
            <w:noWrap w:val="0"/>
            <w:vAlign w:val="center"/>
          </w:tcPr>
          <w:p>
            <w:pPr>
              <w:pStyle w:val="139"/>
              <w:spacing w:before="59" w:line="247" w:lineRule="auto"/>
              <w:ind w:left="118" w:leftChars="0" w:right="107" w:rightChars="0" w:firstLine="4" w:firstLineChars="0"/>
              <w:jc w:val="both"/>
              <w:rPr>
                <w:color w:val="000000"/>
              </w:rPr>
            </w:pPr>
            <w:r>
              <w:rPr>
                <w:color w:val="000000"/>
                <w:spacing w:val="3"/>
                <w:highlight w:val="none"/>
              </w:rPr>
              <w:t>非辽宁省投资项目在线审</w:t>
            </w:r>
            <w:r>
              <w:rPr>
                <w:color w:val="000000"/>
                <w:spacing w:val="-1"/>
                <w:highlight w:val="none"/>
              </w:rPr>
              <w:t>批监管平台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0" w:line="249" w:lineRule="auto"/>
              <w:ind w:left="114" w:right="106"/>
              <w:jc w:val="both"/>
              <w:rPr>
                <w:color w:val="000000"/>
              </w:rPr>
            </w:pPr>
            <w:r>
              <w:rPr>
                <w:color w:val="000000"/>
                <w:spacing w:val="7"/>
              </w:rPr>
              <w:t>监督部门联系</w:t>
            </w:r>
            <w:r>
              <w:rPr>
                <w:color w:val="000000"/>
              </w:rPr>
              <w:t xml:space="preserve"> 人</w:t>
            </w:r>
          </w:p>
        </w:tc>
        <w:tc>
          <w:tcPr>
            <w:tcW w:w="3112" w:type="dxa"/>
            <w:gridSpan w:val="3"/>
            <w:noWrap w:val="0"/>
            <w:vAlign w:val="center"/>
          </w:tcPr>
          <w:p>
            <w:pPr>
              <w:pStyle w:val="139"/>
              <w:spacing w:before="59" w:line="247" w:lineRule="auto"/>
              <w:ind w:left="111" w:leftChars="0" w:right="104" w:rightChars="0"/>
              <w:jc w:val="both"/>
              <w:rPr>
                <w:color w:val="000000"/>
              </w:rPr>
            </w:pPr>
            <w:r>
              <w:rPr>
                <w:rFonts w:hint="eastAsia"/>
                <w:color w:val="000000"/>
                <w:highlight w:val="none"/>
              </w:rPr>
              <w:t>王女士</w:t>
            </w:r>
          </w:p>
        </w:tc>
        <w:tc>
          <w:tcPr>
            <w:tcW w:w="1624" w:type="dxa"/>
            <w:gridSpan w:val="5"/>
            <w:noWrap w:val="0"/>
            <w:vAlign w:val="center"/>
          </w:tcPr>
          <w:p>
            <w:pPr>
              <w:pStyle w:val="139"/>
              <w:spacing w:before="59" w:line="247" w:lineRule="auto"/>
              <w:ind w:left="111" w:leftChars="0" w:right="104" w:rightChars="0"/>
              <w:jc w:val="both"/>
              <w:rPr>
                <w:color w:val="000000"/>
              </w:rPr>
            </w:pPr>
            <w:r>
              <w:rPr>
                <w:rFonts w:hint="eastAsia"/>
                <w:color w:val="000000"/>
                <w:highlight w:val="none"/>
              </w:rPr>
              <w:t>监督部门电话</w:t>
            </w:r>
          </w:p>
        </w:tc>
        <w:tc>
          <w:tcPr>
            <w:tcW w:w="2581" w:type="dxa"/>
            <w:noWrap w:val="0"/>
            <w:vAlign w:val="center"/>
          </w:tcPr>
          <w:p>
            <w:pPr>
              <w:pStyle w:val="139"/>
              <w:spacing w:before="59" w:line="247" w:lineRule="auto"/>
              <w:ind w:left="111" w:leftChars="0" w:right="104" w:rightChars="0"/>
              <w:jc w:val="both"/>
              <w:rPr>
                <w:color w:val="000000"/>
              </w:rPr>
            </w:pPr>
            <w:r>
              <w:rPr>
                <w:rFonts w:hint="eastAsia"/>
                <w:color w:val="000000"/>
                <w:highlight w:val="none"/>
              </w:rPr>
              <w:t>0417-5620156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28" w:type="dxa"/>
            <w:noWrap w:val="0"/>
            <w:vAlign w:val="center"/>
          </w:tcPr>
          <w:p>
            <w:pPr>
              <w:pStyle w:val="139"/>
              <w:spacing w:before="50" w:line="248" w:lineRule="auto"/>
              <w:ind w:left="119" w:right="107"/>
              <w:jc w:val="both"/>
              <w:rPr>
                <w:rFonts w:hint="eastAsia"/>
                <w:szCs w:val="21"/>
              </w:rPr>
            </w:pPr>
            <w:r>
              <w:rPr>
                <w:rFonts w:hint="eastAsia"/>
                <w:szCs w:val="21"/>
              </w:rPr>
              <w:t>项目所在地区</w:t>
            </w:r>
          </w:p>
        </w:tc>
        <w:tc>
          <w:tcPr>
            <w:tcW w:w="3112" w:type="dxa"/>
            <w:gridSpan w:val="3"/>
            <w:noWrap w:val="0"/>
            <w:vAlign w:val="center"/>
          </w:tcPr>
          <w:p>
            <w:pPr>
              <w:pStyle w:val="139"/>
              <w:spacing w:before="50" w:line="248" w:lineRule="auto"/>
              <w:ind w:left="119" w:right="107"/>
              <w:jc w:val="both"/>
              <w:rPr>
                <w:rFonts w:hint="eastAsia"/>
                <w:szCs w:val="21"/>
              </w:rPr>
            </w:pPr>
            <w:r>
              <w:rPr>
                <w:rFonts w:hint="eastAsia"/>
                <w:szCs w:val="21"/>
              </w:rPr>
              <w:t>大石桥市境内</w:t>
            </w:r>
          </w:p>
        </w:tc>
        <w:tc>
          <w:tcPr>
            <w:tcW w:w="1624" w:type="dxa"/>
            <w:gridSpan w:val="5"/>
            <w:noWrap w:val="0"/>
            <w:vAlign w:val="center"/>
          </w:tcPr>
          <w:p>
            <w:pPr>
              <w:pStyle w:val="139"/>
              <w:spacing w:before="50" w:line="248" w:lineRule="auto"/>
              <w:ind w:left="119" w:right="107"/>
              <w:jc w:val="both"/>
              <w:rPr>
                <w:rFonts w:hint="eastAsia"/>
                <w:szCs w:val="21"/>
              </w:rPr>
            </w:pPr>
            <w:r>
              <w:rPr>
                <w:rFonts w:hint="eastAsia"/>
                <w:szCs w:val="21"/>
              </w:rPr>
              <w:t>招标人名称</w:t>
            </w:r>
          </w:p>
        </w:tc>
        <w:tc>
          <w:tcPr>
            <w:tcW w:w="2581" w:type="dxa"/>
            <w:noWrap w:val="0"/>
            <w:vAlign w:val="center"/>
          </w:tcPr>
          <w:p>
            <w:pPr>
              <w:pStyle w:val="139"/>
              <w:spacing w:before="50" w:line="248" w:lineRule="auto"/>
              <w:ind w:left="119" w:right="107"/>
              <w:jc w:val="both"/>
              <w:rPr>
                <w:color w:val="000000"/>
              </w:rPr>
            </w:pPr>
            <w:r>
              <w:rPr>
                <w:rFonts w:hint="eastAsia"/>
                <w:szCs w:val="21"/>
              </w:rPr>
              <w:t>大石桥市水利事务中心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8" w:line="221" w:lineRule="auto"/>
              <w:ind w:left="117"/>
              <w:jc w:val="both"/>
              <w:rPr>
                <w:color w:val="000000"/>
              </w:rPr>
            </w:pPr>
            <w:r>
              <w:rPr>
                <w:color w:val="000000"/>
                <w:spacing w:val="-3"/>
              </w:rPr>
              <w:t>项目名称</w:t>
            </w:r>
          </w:p>
        </w:tc>
        <w:tc>
          <w:tcPr>
            <w:tcW w:w="3112" w:type="dxa"/>
            <w:gridSpan w:val="3"/>
            <w:noWrap w:val="0"/>
            <w:vAlign w:val="center"/>
          </w:tcPr>
          <w:p>
            <w:pPr>
              <w:pStyle w:val="139"/>
              <w:spacing w:before="51" w:line="249" w:lineRule="auto"/>
              <w:ind w:left="151" w:right="98" w:hanging="40"/>
              <w:jc w:val="both"/>
              <w:rPr>
                <w:color w:val="000000"/>
              </w:rPr>
            </w:pPr>
            <w:r>
              <w:rPr>
                <w:rFonts w:hint="eastAsia"/>
                <w:color w:val="000000"/>
                <w:spacing w:val="-1"/>
                <w:lang w:eastAsia="zh-CN"/>
              </w:rPr>
              <w:t>大石桥市2024年第一批中央水库移民后期扶持资金项目</w:t>
            </w:r>
          </w:p>
        </w:tc>
        <w:tc>
          <w:tcPr>
            <w:tcW w:w="1624" w:type="dxa"/>
            <w:gridSpan w:val="5"/>
            <w:noWrap w:val="0"/>
            <w:vAlign w:val="center"/>
          </w:tcPr>
          <w:p>
            <w:pPr>
              <w:pStyle w:val="139"/>
              <w:spacing w:before="207" w:line="221" w:lineRule="auto"/>
              <w:ind w:left="121"/>
              <w:jc w:val="both"/>
              <w:rPr>
                <w:color w:val="000000"/>
              </w:rPr>
            </w:pPr>
            <w:r>
              <w:rPr>
                <w:color w:val="000000"/>
                <w:spacing w:val="-3"/>
              </w:rPr>
              <w:t>项目编号</w:t>
            </w:r>
          </w:p>
        </w:tc>
        <w:tc>
          <w:tcPr>
            <w:tcW w:w="2581" w:type="dxa"/>
            <w:noWrap w:val="0"/>
            <w:vAlign w:val="center"/>
          </w:tcPr>
          <w:p>
            <w:pPr>
              <w:pStyle w:val="139"/>
              <w:spacing w:before="242" w:line="183" w:lineRule="auto"/>
              <w:ind w:left="121"/>
              <w:jc w:val="both"/>
              <w:rPr>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28" w:type="dxa"/>
            <w:noWrap w:val="0"/>
            <w:vAlign w:val="center"/>
          </w:tcPr>
          <w:p>
            <w:pPr>
              <w:pStyle w:val="139"/>
              <w:spacing w:before="51" w:line="221" w:lineRule="auto"/>
              <w:ind w:left="122"/>
              <w:jc w:val="both"/>
              <w:rPr>
                <w:color w:val="000000"/>
              </w:rPr>
            </w:pPr>
            <w:r>
              <w:rPr>
                <w:color w:val="000000"/>
                <w:spacing w:val="-4"/>
              </w:rPr>
              <w:t>资金来源</w:t>
            </w:r>
          </w:p>
        </w:tc>
        <w:tc>
          <w:tcPr>
            <w:tcW w:w="3112" w:type="dxa"/>
            <w:gridSpan w:val="3"/>
            <w:noWrap w:val="0"/>
            <w:vAlign w:val="center"/>
          </w:tcPr>
          <w:p>
            <w:pPr>
              <w:pStyle w:val="139"/>
              <w:spacing w:before="51" w:line="221" w:lineRule="auto"/>
              <w:ind w:left="115"/>
              <w:jc w:val="both"/>
              <w:rPr>
                <w:rFonts w:hint="eastAsia" w:eastAsia="宋体"/>
                <w:color w:val="000000"/>
                <w:highlight w:val="none"/>
                <w:lang w:eastAsia="zh-CN"/>
              </w:rPr>
            </w:pPr>
            <w:r>
              <w:rPr>
                <w:rFonts w:hint="eastAsia"/>
                <w:szCs w:val="21"/>
                <w:highlight w:val="none"/>
                <w:lang w:eastAsia="zh-CN"/>
              </w:rPr>
              <w:t>中央水库移民资金</w:t>
            </w:r>
          </w:p>
        </w:tc>
        <w:tc>
          <w:tcPr>
            <w:tcW w:w="1624" w:type="dxa"/>
            <w:gridSpan w:val="5"/>
            <w:noWrap w:val="0"/>
            <w:vAlign w:val="center"/>
          </w:tcPr>
          <w:p>
            <w:pPr>
              <w:pStyle w:val="139"/>
              <w:spacing w:before="52" w:line="221" w:lineRule="auto"/>
              <w:ind w:left="119"/>
              <w:jc w:val="both"/>
              <w:rPr>
                <w:color w:val="000000"/>
              </w:rPr>
            </w:pPr>
            <w:r>
              <w:rPr>
                <w:color w:val="000000"/>
                <w:spacing w:val="-2"/>
              </w:rPr>
              <w:t>招标方式</w:t>
            </w:r>
          </w:p>
        </w:tc>
        <w:tc>
          <w:tcPr>
            <w:tcW w:w="2581" w:type="dxa"/>
            <w:noWrap w:val="0"/>
            <w:vAlign w:val="center"/>
          </w:tcPr>
          <w:p>
            <w:pPr>
              <w:pStyle w:val="139"/>
              <w:spacing w:before="52" w:line="221" w:lineRule="auto"/>
              <w:ind w:left="125"/>
              <w:jc w:val="both"/>
              <w:rPr>
                <w:color w:val="000000"/>
              </w:rPr>
            </w:pPr>
            <w:r>
              <w:rPr>
                <w:color w:val="000000"/>
                <w:spacing w:val="-3"/>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28" w:type="dxa"/>
            <w:noWrap w:val="0"/>
            <w:vAlign w:val="center"/>
          </w:tcPr>
          <w:p>
            <w:pPr>
              <w:pStyle w:val="139"/>
              <w:spacing w:before="52" w:line="221" w:lineRule="auto"/>
              <w:ind w:left="117"/>
              <w:jc w:val="both"/>
              <w:rPr>
                <w:color w:val="000000"/>
              </w:rPr>
            </w:pPr>
            <w:r>
              <w:rPr>
                <w:color w:val="000000"/>
                <w:spacing w:val="-2"/>
              </w:rPr>
              <w:t>项目总投资</w:t>
            </w:r>
          </w:p>
        </w:tc>
        <w:tc>
          <w:tcPr>
            <w:tcW w:w="3112" w:type="dxa"/>
            <w:gridSpan w:val="3"/>
            <w:noWrap w:val="0"/>
            <w:vAlign w:val="center"/>
          </w:tcPr>
          <w:p>
            <w:pPr>
              <w:pStyle w:val="139"/>
              <w:spacing w:before="52" w:line="221" w:lineRule="auto"/>
              <w:ind w:left="127"/>
              <w:jc w:val="both"/>
              <w:rPr>
                <w:color w:val="000000"/>
                <w:highlight w:val="none"/>
              </w:rPr>
            </w:pPr>
            <w:r>
              <w:rPr>
                <w:rFonts w:hint="eastAsia"/>
                <w:color w:val="000000"/>
                <w:spacing w:val="-6"/>
                <w:highlight w:val="none"/>
                <w:lang w:val="en-US" w:eastAsia="zh-CN"/>
              </w:rPr>
              <w:t xml:space="preserve">   </w:t>
            </w:r>
            <w:r>
              <w:rPr>
                <w:color w:val="000000"/>
                <w:spacing w:val="-6"/>
                <w:highlight w:val="none"/>
              </w:rPr>
              <w:t>万元</w:t>
            </w:r>
          </w:p>
        </w:tc>
        <w:tc>
          <w:tcPr>
            <w:tcW w:w="1624" w:type="dxa"/>
            <w:gridSpan w:val="5"/>
            <w:noWrap w:val="0"/>
            <w:vAlign w:val="center"/>
          </w:tcPr>
          <w:p>
            <w:pPr>
              <w:pStyle w:val="139"/>
              <w:spacing w:before="51" w:line="221" w:lineRule="auto"/>
              <w:ind w:left="119"/>
              <w:jc w:val="both"/>
              <w:rPr>
                <w:color w:val="000000"/>
              </w:rPr>
            </w:pPr>
            <w:r>
              <w:rPr>
                <w:color w:val="000000"/>
                <w:spacing w:val="-2"/>
              </w:rPr>
              <w:t>标段数量</w:t>
            </w:r>
          </w:p>
        </w:tc>
        <w:tc>
          <w:tcPr>
            <w:tcW w:w="2581" w:type="dxa"/>
            <w:noWrap w:val="0"/>
            <w:vAlign w:val="center"/>
          </w:tcPr>
          <w:p>
            <w:pPr>
              <w:pStyle w:val="139"/>
              <w:spacing w:before="86" w:line="183" w:lineRule="auto"/>
              <w:ind w:left="134"/>
              <w:jc w:val="both"/>
              <w:rPr>
                <w:rFonts w:hint="eastAsia" w:eastAsia="宋体"/>
                <w:color w:val="000000"/>
                <w:lang w:eastAsia="zh-CN"/>
              </w:rPr>
            </w:pPr>
            <w:r>
              <w:rPr>
                <w:rFonts w:hint="eastAsia"/>
                <w:color w:val="000000"/>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528" w:type="dxa"/>
            <w:noWrap w:val="0"/>
            <w:vAlign w:val="center"/>
          </w:tcPr>
          <w:p>
            <w:pPr>
              <w:spacing w:line="450" w:lineRule="auto"/>
              <w:jc w:val="both"/>
              <w:rPr>
                <w:rFonts w:ascii="Arial"/>
                <w:color w:val="000000"/>
                <w:sz w:val="21"/>
              </w:rPr>
            </w:pPr>
          </w:p>
          <w:p>
            <w:pPr>
              <w:pStyle w:val="139"/>
              <w:spacing w:before="68" w:line="221" w:lineRule="auto"/>
              <w:ind w:left="117"/>
              <w:jc w:val="both"/>
              <w:rPr>
                <w:color w:val="000000"/>
              </w:rPr>
            </w:pPr>
            <w:r>
              <w:rPr>
                <w:color w:val="000000"/>
                <w:spacing w:val="-3"/>
              </w:rPr>
              <w:t>项目规模</w:t>
            </w:r>
          </w:p>
        </w:tc>
        <w:tc>
          <w:tcPr>
            <w:tcW w:w="7317" w:type="dxa"/>
            <w:gridSpan w:val="9"/>
            <w:noWrap w:val="0"/>
            <w:vAlign w:val="center"/>
          </w:tcPr>
          <w:p>
            <w:pPr>
              <w:pStyle w:val="139"/>
              <w:spacing w:before="61" w:line="360" w:lineRule="auto"/>
              <w:ind w:left="114" w:firstLine="420" w:firstLineChars="200"/>
              <w:jc w:val="both"/>
              <w:rPr>
                <w:rFonts w:hint="eastAsia"/>
                <w:szCs w:val="21"/>
                <w:highlight w:val="none"/>
              </w:rPr>
            </w:pPr>
            <w:r>
              <w:rPr>
                <w:rFonts w:hint="eastAsia"/>
                <w:szCs w:val="21"/>
                <w:highlight w:val="none"/>
              </w:rPr>
              <w:t>大石桥市2024年第一批中央水库移民后期扶持资金项目（水利类工程）共6项工程，涉及4个镇,6个村。建设内容主要为官屯镇（胜利河）石硼峪村段河道右岸新建仰斜式浆砌石挡墙护坡480m，官屯镇（南山河）何屯村段河道新建仰斜式浆砌石挡墙护坡715m（其中右岸390米，左岸325米）；周家镇（大沟河）大沟村段河道左岸新建仰斜式浆砌石挡墙护坡200m；周家镇车家村新建浆砌石U型槽路边沟425m,∮600过路涵11座，每座5m；汤池镇高士沟村沟道两侧新建仰斜式浆砌石挡墙护坡1100m，黄土岭镇黄土岭村吕王河段新建拦河截浅工程1处，拦河截浅长36.0m，宽3.3m,高4.1米与岩层相接。</w:t>
            </w:r>
          </w:p>
          <w:p>
            <w:pPr>
              <w:pStyle w:val="139"/>
              <w:spacing w:before="61" w:line="360" w:lineRule="auto"/>
              <w:ind w:left="114"/>
              <w:jc w:val="both"/>
              <w:rPr>
                <w:color w:val="000000"/>
              </w:rPr>
            </w:pPr>
            <w:r>
              <w:rPr>
                <w:rFonts w:hint="eastAsia"/>
                <w:szCs w:val="21"/>
                <w:highlight w:val="none"/>
              </w:rPr>
              <w:t xml:space="preserve">    大石桥市2024年第一批中央水库移民后期扶持资金项目（市政类工程）共24项工程，涉及11个乡镇，24个村屯，工程任务是水泥混凝土道路23561m,沥青混凝土盖被路1016m，太阳能路灯1906盏。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8" w:type="dxa"/>
            <w:noWrap w:val="0"/>
            <w:vAlign w:val="center"/>
          </w:tcPr>
          <w:p>
            <w:pPr>
              <w:pStyle w:val="139"/>
              <w:spacing w:before="68" w:line="221" w:lineRule="auto"/>
              <w:ind w:left="117"/>
              <w:jc w:val="both"/>
              <w:rPr>
                <w:color w:val="000000"/>
                <w:spacing w:val="-3"/>
              </w:rPr>
            </w:pPr>
          </w:p>
        </w:tc>
        <w:tc>
          <w:tcPr>
            <w:tcW w:w="7317" w:type="dxa"/>
            <w:gridSpan w:val="9"/>
            <w:noWrap w:val="0"/>
            <w:vAlign w:val="center"/>
          </w:tcPr>
          <w:p>
            <w:pPr>
              <w:pStyle w:val="139"/>
              <w:spacing w:before="61" w:line="221" w:lineRule="auto"/>
              <w:ind w:left="114"/>
              <w:jc w:val="center"/>
              <w:rPr>
                <w:rFonts w:hint="eastAsia" w:ascii="Times New Roman" w:hAnsi="Times New Roman" w:eastAsia="宋体" w:cs="Times New Roman"/>
                <w:b w:val="0"/>
                <w:bCs w:val="0"/>
                <w:color w:val="000000"/>
                <w:kern w:val="2"/>
                <w:sz w:val="21"/>
                <w:szCs w:val="21"/>
                <w:highlight w:val="none"/>
                <w:lang w:val="en-US" w:eastAsia="zh-CN"/>
              </w:rPr>
            </w:pPr>
            <w:r>
              <w:rPr>
                <w:rFonts w:hint="eastAsia" w:ascii="Times New Roman" w:hAnsi="Times New Roman" w:cs="Times New Roman"/>
                <w:b w:val="0"/>
                <w:bCs w:val="0"/>
                <w:color w:val="000000"/>
                <w:kern w:val="2"/>
                <w:sz w:val="21"/>
                <w:szCs w:val="21"/>
                <w:highlight w:val="none"/>
                <w:lang w:val="en-US" w:eastAsia="zh-CN"/>
              </w:rPr>
              <w:t>一标段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7" w:line="221" w:lineRule="auto"/>
              <w:ind w:left="114"/>
              <w:jc w:val="both"/>
              <w:rPr>
                <w:color w:val="000000"/>
              </w:rPr>
            </w:pPr>
            <w:r>
              <w:rPr>
                <w:color w:val="000000"/>
                <w:spacing w:val="-1"/>
              </w:rPr>
              <w:t>标段(包)名称</w:t>
            </w:r>
          </w:p>
        </w:tc>
        <w:tc>
          <w:tcPr>
            <w:tcW w:w="3112" w:type="dxa"/>
            <w:gridSpan w:val="3"/>
            <w:noWrap w:val="0"/>
            <w:vAlign w:val="center"/>
          </w:tcPr>
          <w:p>
            <w:pPr>
              <w:pStyle w:val="139"/>
              <w:spacing w:before="51" w:line="249" w:lineRule="auto"/>
              <w:ind w:left="151" w:right="98" w:hanging="40"/>
              <w:jc w:val="both"/>
              <w:rPr>
                <w:color w:val="000000"/>
              </w:rPr>
            </w:pPr>
            <w:r>
              <w:rPr>
                <w:rFonts w:hint="eastAsia" w:ascii="Times New Roman" w:hAnsi="Times New Roman" w:cs="Times New Roman"/>
                <w:b w:val="0"/>
                <w:bCs w:val="0"/>
                <w:color w:val="000000"/>
                <w:kern w:val="2"/>
                <w:sz w:val="21"/>
                <w:szCs w:val="21"/>
                <w:highlight w:val="none"/>
                <w:lang w:val="en-US" w:eastAsia="zh-CN"/>
              </w:rPr>
              <w:t>大石桥市2024年第一批中央水库移民后期扶持资金项目一标段</w:t>
            </w:r>
          </w:p>
        </w:tc>
        <w:tc>
          <w:tcPr>
            <w:tcW w:w="1624" w:type="dxa"/>
            <w:gridSpan w:val="5"/>
            <w:noWrap w:val="0"/>
            <w:vAlign w:val="center"/>
          </w:tcPr>
          <w:p>
            <w:pPr>
              <w:pStyle w:val="139"/>
              <w:spacing w:before="207" w:line="221" w:lineRule="auto"/>
              <w:ind w:left="119"/>
              <w:jc w:val="both"/>
              <w:rPr>
                <w:color w:val="000000"/>
              </w:rPr>
            </w:pPr>
            <w:r>
              <w:rPr>
                <w:color w:val="000000"/>
                <w:spacing w:val="-1"/>
              </w:rPr>
              <w:t>标段(包)编号</w:t>
            </w:r>
          </w:p>
        </w:tc>
        <w:tc>
          <w:tcPr>
            <w:tcW w:w="2581" w:type="dxa"/>
            <w:noWrap w:val="0"/>
            <w:vAlign w:val="center"/>
          </w:tcPr>
          <w:p>
            <w:pPr>
              <w:pStyle w:val="139"/>
              <w:spacing w:before="241" w:line="183" w:lineRule="auto"/>
              <w:ind w:left="121"/>
              <w:jc w:val="both"/>
              <w:rPr>
                <w:rFonts w:hint="default" w:eastAsia="宋体"/>
                <w:color w:val="00000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52" w:line="248" w:lineRule="auto"/>
              <w:ind w:left="114" w:right="106"/>
              <w:jc w:val="center"/>
              <w:rPr>
                <w:color w:val="000000"/>
                <w:highlight w:val="none"/>
              </w:rPr>
            </w:pPr>
            <w:r>
              <w:rPr>
                <w:color w:val="000000"/>
                <w:spacing w:val="7"/>
                <w:highlight w:val="none"/>
              </w:rPr>
              <w:t>标段（包）性</w:t>
            </w:r>
            <w:r>
              <w:rPr>
                <w:color w:val="000000"/>
                <w:highlight w:val="none"/>
              </w:rPr>
              <w:t xml:space="preserve"> 质</w:t>
            </w:r>
          </w:p>
        </w:tc>
        <w:tc>
          <w:tcPr>
            <w:tcW w:w="3112" w:type="dxa"/>
            <w:gridSpan w:val="3"/>
            <w:noWrap w:val="0"/>
            <w:vAlign w:val="center"/>
          </w:tcPr>
          <w:p>
            <w:pPr>
              <w:pStyle w:val="139"/>
              <w:spacing w:before="208" w:line="220" w:lineRule="auto"/>
              <w:ind w:left="115"/>
              <w:jc w:val="both"/>
              <w:rPr>
                <w:color w:val="000000"/>
                <w:highlight w:val="none"/>
              </w:rPr>
            </w:pPr>
            <w:r>
              <w:rPr>
                <w:color w:val="000000"/>
                <w:spacing w:val="-1"/>
                <w:highlight w:val="none"/>
              </w:rPr>
              <w:t>依法必须招标的项目</w:t>
            </w:r>
          </w:p>
        </w:tc>
        <w:tc>
          <w:tcPr>
            <w:tcW w:w="1624" w:type="dxa"/>
            <w:gridSpan w:val="5"/>
            <w:noWrap w:val="0"/>
            <w:vAlign w:val="center"/>
          </w:tcPr>
          <w:p>
            <w:pPr>
              <w:pStyle w:val="139"/>
              <w:spacing w:before="208" w:line="221" w:lineRule="auto"/>
              <w:ind w:left="119"/>
              <w:jc w:val="center"/>
              <w:rPr>
                <w:color w:val="000000"/>
              </w:rPr>
            </w:pPr>
            <w:r>
              <w:rPr>
                <w:color w:val="000000"/>
                <w:spacing w:val="-1"/>
              </w:rPr>
              <w:t>标段(包)内容</w:t>
            </w:r>
          </w:p>
        </w:tc>
        <w:tc>
          <w:tcPr>
            <w:tcW w:w="2581" w:type="dxa"/>
            <w:noWrap w:val="0"/>
            <w:vAlign w:val="center"/>
          </w:tcPr>
          <w:p>
            <w:pPr>
              <w:pStyle w:val="139"/>
              <w:spacing w:before="209" w:line="223" w:lineRule="auto"/>
              <w:ind w:left="118"/>
              <w:jc w:val="center"/>
              <w:rPr>
                <w:color w:val="000000"/>
              </w:rPr>
            </w:pPr>
            <w:r>
              <w:rPr>
                <w:color w:val="000000"/>
                <w:spacing w:val="-2"/>
              </w:rPr>
              <w:t>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8" w:line="221" w:lineRule="auto"/>
              <w:ind w:left="122"/>
              <w:jc w:val="both"/>
              <w:rPr>
                <w:color w:val="000000"/>
              </w:rPr>
            </w:pPr>
            <w:r>
              <w:rPr>
                <w:color w:val="000000"/>
                <w:spacing w:val="-4"/>
              </w:rPr>
              <w:t>资质要求</w:t>
            </w:r>
          </w:p>
        </w:tc>
        <w:tc>
          <w:tcPr>
            <w:tcW w:w="7317" w:type="dxa"/>
            <w:gridSpan w:val="9"/>
            <w:noWrap w:val="0"/>
            <w:vAlign w:val="center"/>
          </w:tcPr>
          <w:p>
            <w:pPr>
              <w:pStyle w:val="139"/>
              <w:spacing w:before="53" w:line="247" w:lineRule="auto"/>
              <w:ind w:left="116" w:right="105"/>
              <w:jc w:val="both"/>
              <w:rPr>
                <w:color w:val="000000"/>
              </w:rPr>
            </w:pPr>
            <w:r>
              <w:rPr>
                <w:rFonts w:hint="eastAsia"/>
              </w:rPr>
              <w:t>市政公用工程施工总承包叁级（含叁级）及以上资质</w:t>
            </w:r>
            <w:r>
              <w:rPr>
                <w:color w:val="000000"/>
                <w:spacing w:val="-2"/>
              </w:rPr>
              <w:t>，并在人员、设备、资金等方面</w:t>
            </w:r>
            <w:r>
              <w:rPr>
                <w:color w:val="000000"/>
                <w:spacing w:val="17"/>
              </w:rPr>
              <w:t xml:space="preserve"> </w:t>
            </w:r>
            <w:r>
              <w:rPr>
                <w:color w:val="000000"/>
                <w:spacing w:val="-1"/>
              </w:rPr>
              <w:t>具有相应的施工能力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28" w:type="dxa"/>
            <w:noWrap w:val="0"/>
            <w:vAlign w:val="center"/>
          </w:tcPr>
          <w:p>
            <w:pPr>
              <w:pStyle w:val="139"/>
              <w:spacing w:before="53" w:line="221" w:lineRule="auto"/>
              <w:ind w:left="114"/>
              <w:jc w:val="both"/>
              <w:rPr>
                <w:color w:val="000000"/>
              </w:rPr>
            </w:pPr>
            <w:r>
              <w:rPr>
                <w:color w:val="000000"/>
                <w:spacing w:val="-2"/>
              </w:rPr>
              <w:t>质量要求</w:t>
            </w:r>
          </w:p>
        </w:tc>
        <w:tc>
          <w:tcPr>
            <w:tcW w:w="7317" w:type="dxa"/>
            <w:gridSpan w:val="9"/>
            <w:noWrap w:val="0"/>
            <w:vAlign w:val="center"/>
          </w:tcPr>
          <w:p>
            <w:pPr>
              <w:pStyle w:val="139"/>
              <w:spacing w:before="52" w:line="221" w:lineRule="auto"/>
              <w:ind w:left="112"/>
              <w:jc w:val="both"/>
              <w:rPr>
                <w:rFonts w:hint="eastAsia" w:eastAsia="宋体"/>
                <w:color w:val="000000"/>
                <w:lang w:eastAsia="zh-CN"/>
              </w:rPr>
            </w:pPr>
            <w:r>
              <w:rPr>
                <w:rFonts w:hint="eastAsia"/>
                <w:color w:val="000000"/>
                <w:spacing w:val="-2"/>
                <w:highlight w:val="none"/>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28" w:type="dxa"/>
            <w:noWrap w:val="0"/>
            <w:vAlign w:val="center"/>
          </w:tcPr>
          <w:p>
            <w:pPr>
              <w:spacing w:line="450" w:lineRule="auto"/>
              <w:jc w:val="both"/>
              <w:rPr>
                <w:rFonts w:ascii="Arial"/>
                <w:color w:val="000000"/>
                <w:sz w:val="21"/>
              </w:rPr>
            </w:pPr>
          </w:p>
          <w:p>
            <w:pPr>
              <w:pStyle w:val="139"/>
              <w:spacing w:before="68" w:line="221" w:lineRule="auto"/>
              <w:ind w:left="114"/>
              <w:jc w:val="both"/>
              <w:rPr>
                <w:color w:val="000000"/>
              </w:rPr>
            </w:pPr>
            <w:r>
              <w:rPr>
                <w:color w:val="000000"/>
                <w:spacing w:val="-2"/>
              </w:rPr>
              <w:t>招标范围</w:t>
            </w:r>
          </w:p>
        </w:tc>
        <w:tc>
          <w:tcPr>
            <w:tcW w:w="7317" w:type="dxa"/>
            <w:gridSpan w:val="9"/>
            <w:noWrap w:val="0"/>
            <w:vAlign w:val="center"/>
          </w:tcPr>
          <w:p>
            <w:pPr>
              <w:pStyle w:val="139"/>
              <w:spacing w:before="61" w:line="221" w:lineRule="auto"/>
              <w:ind w:left="114"/>
              <w:jc w:val="both"/>
              <w:rPr>
                <w:color w:val="000000"/>
              </w:rPr>
            </w:pPr>
            <w:r>
              <w:rPr>
                <w:rFonts w:hint="eastAsia" w:ascii="Times New Roman" w:hAnsi="Times New Roman" w:eastAsia="宋体" w:cs="Times New Roman"/>
                <w:b w:val="0"/>
                <w:bCs w:val="0"/>
                <w:color w:val="000000"/>
                <w:kern w:val="2"/>
                <w:sz w:val="21"/>
                <w:szCs w:val="21"/>
                <w:highlight w:val="none"/>
                <w:lang w:val="en-US" w:eastAsia="zh-CN"/>
              </w:rPr>
              <w:t>博洛铺镇</w:t>
            </w:r>
            <w:r>
              <w:rPr>
                <w:rFonts w:hint="eastAsia" w:ascii="Times New Roman" w:hAnsi="Times New Roman" w:cs="Times New Roman"/>
                <w:b w:val="0"/>
                <w:bCs w:val="0"/>
                <w:color w:val="000000"/>
                <w:kern w:val="2"/>
                <w:sz w:val="21"/>
                <w:szCs w:val="21"/>
                <w:highlight w:val="none"/>
                <w:lang w:val="en-US" w:eastAsia="zh-CN"/>
              </w:rPr>
              <w:t>、高坎镇、沟沿镇、官屯镇、黄土岭镇、石佛镇、水源镇、永安镇、虎庄镇</w:t>
            </w:r>
            <w:r>
              <w:rPr>
                <w:rFonts w:hint="eastAsia"/>
                <w:szCs w:val="21"/>
                <w:highlight w:val="none"/>
                <w:lang w:val="en-US" w:eastAsia="zh-CN"/>
              </w:rPr>
              <w:t>9</w:t>
            </w:r>
            <w:r>
              <w:rPr>
                <w:rFonts w:hint="eastAsia"/>
                <w:szCs w:val="21"/>
                <w:highlight w:val="none"/>
              </w:rPr>
              <w:t>个乡镇，</w:t>
            </w:r>
            <w:r>
              <w:rPr>
                <w:rFonts w:hint="eastAsia"/>
                <w:szCs w:val="21"/>
                <w:highlight w:val="none"/>
                <w:lang w:val="en-US" w:eastAsia="zh-CN"/>
              </w:rPr>
              <w:t>13</w:t>
            </w:r>
            <w:r>
              <w:rPr>
                <w:rFonts w:hint="eastAsia"/>
                <w:szCs w:val="21"/>
                <w:highlight w:val="none"/>
              </w:rPr>
              <w:t>个行政村新</w:t>
            </w:r>
            <w:r>
              <w:rPr>
                <w:rFonts w:hint="eastAsia"/>
                <w:szCs w:val="21"/>
                <w:highlight w:val="none"/>
                <w:lang w:eastAsia="zh-CN"/>
              </w:rPr>
              <w:t>修水泥</w:t>
            </w:r>
            <w:r>
              <w:rPr>
                <w:rFonts w:hint="eastAsia"/>
                <w:szCs w:val="21"/>
                <w:highlight w:val="none"/>
              </w:rPr>
              <w:t>路道路长度</w:t>
            </w:r>
            <w:r>
              <w:rPr>
                <w:rFonts w:hint="eastAsia"/>
                <w:szCs w:val="21"/>
                <w:highlight w:val="none"/>
                <w:lang w:val="en-US" w:eastAsia="zh-CN"/>
              </w:rPr>
              <w:t>23.033</w:t>
            </w:r>
            <w:r>
              <w:rPr>
                <w:rFonts w:hint="eastAsia"/>
                <w:szCs w:val="21"/>
                <w:highlight w:val="none"/>
              </w:rPr>
              <w:t>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28" w:type="dxa"/>
            <w:noWrap w:val="0"/>
            <w:vAlign w:val="center"/>
          </w:tcPr>
          <w:p>
            <w:pPr>
              <w:pStyle w:val="139"/>
              <w:spacing w:before="212" w:line="221" w:lineRule="auto"/>
              <w:ind w:left="116"/>
              <w:jc w:val="both"/>
              <w:rPr>
                <w:color w:val="000000"/>
                <w:highlight w:val="none"/>
              </w:rPr>
            </w:pPr>
            <w:r>
              <w:rPr>
                <w:color w:val="000000"/>
                <w:spacing w:val="-2"/>
                <w:highlight w:val="none"/>
              </w:rPr>
              <w:t>投标保证金</w:t>
            </w:r>
          </w:p>
        </w:tc>
        <w:tc>
          <w:tcPr>
            <w:tcW w:w="3112" w:type="dxa"/>
            <w:gridSpan w:val="3"/>
            <w:noWrap w:val="0"/>
            <w:vAlign w:val="center"/>
          </w:tcPr>
          <w:p>
            <w:pPr>
              <w:pStyle w:val="139"/>
              <w:spacing w:before="212" w:line="221" w:lineRule="auto"/>
              <w:ind w:left="127"/>
              <w:jc w:val="both"/>
              <w:rPr>
                <w:color w:val="000000"/>
                <w:highlight w:val="none"/>
              </w:rPr>
            </w:pPr>
            <w:r>
              <w:rPr>
                <w:rFonts w:hint="eastAsia"/>
                <w:color w:val="000000"/>
                <w:spacing w:val="-10"/>
                <w:highlight w:val="none"/>
                <w:lang w:val="en-US" w:eastAsia="zh-CN"/>
              </w:rPr>
              <w:t xml:space="preserve">   </w:t>
            </w:r>
            <w:r>
              <w:rPr>
                <w:color w:val="000000"/>
                <w:spacing w:val="-10"/>
                <w:highlight w:val="none"/>
              </w:rPr>
              <w:t>万元</w:t>
            </w:r>
          </w:p>
        </w:tc>
        <w:tc>
          <w:tcPr>
            <w:tcW w:w="1624" w:type="dxa"/>
            <w:gridSpan w:val="5"/>
            <w:noWrap w:val="0"/>
            <w:vAlign w:val="center"/>
          </w:tcPr>
          <w:p>
            <w:pPr>
              <w:pStyle w:val="139"/>
              <w:spacing w:before="56" w:line="248" w:lineRule="auto"/>
              <w:ind w:left="122" w:right="97" w:hanging="3"/>
              <w:jc w:val="both"/>
              <w:rPr>
                <w:color w:val="000000"/>
                <w:highlight w:val="none"/>
              </w:rPr>
            </w:pPr>
            <w:r>
              <w:rPr>
                <w:color w:val="000000"/>
                <w:spacing w:val="23"/>
                <w:highlight w:val="none"/>
              </w:rPr>
              <w:t>保证金缴纳方</w:t>
            </w:r>
            <w:r>
              <w:rPr>
                <w:color w:val="000000"/>
                <w:spacing w:val="3"/>
                <w:highlight w:val="none"/>
              </w:rPr>
              <w:t xml:space="preserve"> </w:t>
            </w:r>
            <w:r>
              <w:rPr>
                <w:color w:val="000000"/>
                <w:highlight w:val="none"/>
              </w:rPr>
              <w:t>式</w:t>
            </w:r>
          </w:p>
        </w:tc>
        <w:tc>
          <w:tcPr>
            <w:tcW w:w="2581" w:type="dxa"/>
            <w:noWrap w:val="0"/>
            <w:vAlign w:val="center"/>
          </w:tcPr>
          <w:p>
            <w:pPr>
              <w:pStyle w:val="139"/>
              <w:spacing w:before="56" w:line="247" w:lineRule="auto"/>
              <w:ind w:left="120" w:right="139"/>
              <w:jc w:val="both"/>
              <w:rPr>
                <w:color w:val="000000"/>
                <w:highlight w:val="none"/>
              </w:rPr>
            </w:pPr>
            <w:r>
              <w:rPr>
                <w:color w:val="000000"/>
                <w:highlight w:val="none"/>
              </w:rPr>
              <w:t>保函、电汇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54" w:line="248" w:lineRule="auto"/>
              <w:ind w:left="115" w:right="107" w:hanging="2"/>
              <w:jc w:val="both"/>
              <w:rPr>
                <w:color w:val="000000"/>
              </w:rPr>
            </w:pPr>
            <w:r>
              <w:rPr>
                <w:color w:val="000000"/>
                <w:spacing w:val="6"/>
              </w:rPr>
              <w:t>供货/服务/施</w:t>
            </w:r>
            <w:r>
              <w:rPr>
                <w:color w:val="000000"/>
              </w:rPr>
              <w:t xml:space="preserve"> </w:t>
            </w:r>
            <w:r>
              <w:rPr>
                <w:color w:val="000000"/>
                <w:spacing w:val="-2"/>
              </w:rPr>
              <w:t>工开始时间</w:t>
            </w:r>
          </w:p>
        </w:tc>
        <w:tc>
          <w:tcPr>
            <w:tcW w:w="3112" w:type="dxa"/>
            <w:gridSpan w:val="3"/>
            <w:noWrap w:val="0"/>
            <w:vAlign w:val="center"/>
          </w:tcPr>
          <w:p>
            <w:pPr>
              <w:pStyle w:val="139"/>
              <w:spacing w:before="244" w:line="183" w:lineRule="auto"/>
              <w:ind w:left="114"/>
              <w:jc w:val="both"/>
              <w:rPr>
                <w:rFonts w:hint="default" w:eastAsia="宋体"/>
                <w:color w:val="000000"/>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c>
          <w:tcPr>
            <w:tcW w:w="1624" w:type="dxa"/>
            <w:gridSpan w:val="5"/>
            <w:noWrap w:val="0"/>
            <w:vAlign w:val="center"/>
          </w:tcPr>
          <w:p>
            <w:pPr>
              <w:pStyle w:val="139"/>
              <w:spacing w:before="53" w:line="248" w:lineRule="auto"/>
              <w:ind w:left="120" w:right="97" w:hanging="2"/>
              <w:jc w:val="both"/>
              <w:rPr>
                <w:color w:val="000000"/>
                <w:highlight w:val="none"/>
              </w:rPr>
            </w:pPr>
            <w:r>
              <w:rPr>
                <w:color w:val="000000"/>
                <w:spacing w:val="20"/>
                <w:highlight w:val="none"/>
              </w:rPr>
              <w:t>供货/服务/施</w:t>
            </w:r>
            <w:r>
              <w:rPr>
                <w:color w:val="000000"/>
                <w:spacing w:val="2"/>
                <w:highlight w:val="none"/>
              </w:rPr>
              <w:t xml:space="preserve"> </w:t>
            </w:r>
            <w:r>
              <w:rPr>
                <w:color w:val="000000"/>
                <w:spacing w:val="-2"/>
                <w:highlight w:val="none"/>
              </w:rPr>
              <w:t>工结束时间</w:t>
            </w:r>
          </w:p>
        </w:tc>
        <w:tc>
          <w:tcPr>
            <w:tcW w:w="2581" w:type="dxa"/>
            <w:noWrap w:val="0"/>
            <w:vAlign w:val="center"/>
          </w:tcPr>
          <w:p>
            <w:pPr>
              <w:pStyle w:val="139"/>
              <w:spacing w:before="244" w:line="183" w:lineRule="auto"/>
              <w:ind w:left="121"/>
              <w:jc w:val="both"/>
              <w:rPr>
                <w:rFonts w:hint="default" w:eastAsia="宋体"/>
                <w:color w:val="000000"/>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3" w:line="248" w:lineRule="auto"/>
              <w:ind w:left="114" w:right="106"/>
              <w:jc w:val="both"/>
              <w:rPr>
                <w:color w:val="000000"/>
              </w:rPr>
            </w:pPr>
            <w:r>
              <w:rPr>
                <w:color w:val="000000"/>
                <w:spacing w:val="7"/>
              </w:rPr>
              <w:t>标段（包）开</w:t>
            </w:r>
            <w:r>
              <w:rPr>
                <w:color w:val="000000"/>
              </w:rPr>
              <w:t xml:space="preserve"> </w:t>
            </w:r>
            <w:r>
              <w:rPr>
                <w:color w:val="000000"/>
                <w:spacing w:val="-2"/>
              </w:rPr>
              <w:t>标地点</w:t>
            </w:r>
          </w:p>
        </w:tc>
        <w:tc>
          <w:tcPr>
            <w:tcW w:w="7317" w:type="dxa"/>
            <w:gridSpan w:val="9"/>
            <w:noWrap w:val="0"/>
            <w:vAlign w:val="center"/>
          </w:tcPr>
          <w:p>
            <w:pPr>
              <w:adjustRightInd w:val="0"/>
              <w:snapToGrid w:val="0"/>
              <w:spacing w:line="460" w:lineRule="exact"/>
              <w:jc w:val="both"/>
              <w:rPr>
                <w:color w:val="000000"/>
              </w:rPr>
            </w:pPr>
            <w:r>
              <w:rPr>
                <w:rFonts w:ascii="Helvetica" w:hAnsi="Helvetica"/>
                <w:color w:val="000000"/>
                <w:shd w:val="clear" w:color="auto" w:fill="FFFFFF"/>
              </w:rPr>
              <w:t>大石桥市审批技术审查与公共资源交易中心(营口大石桥市二高街2号)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5" w:line="247" w:lineRule="auto"/>
              <w:ind w:left="113" w:right="106" w:firstLine="3"/>
              <w:jc w:val="both"/>
              <w:rPr>
                <w:color w:val="000000"/>
              </w:rPr>
            </w:pPr>
            <w:r>
              <w:rPr>
                <w:color w:val="000000"/>
                <w:spacing w:val="6"/>
              </w:rPr>
              <w:t>项目负责人资</w:t>
            </w:r>
            <w:r>
              <w:rPr>
                <w:color w:val="000000"/>
                <w:spacing w:val="-2"/>
              </w:rPr>
              <w:t>格条件</w:t>
            </w:r>
          </w:p>
        </w:tc>
        <w:tc>
          <w:tcPr>
            <w:tcW w:w="7317" w:type="dxa"/>
            <w:gridSpan w:val="9"/>
            <w:noWrap w:val="0"/>
            <w:vAlign w:val="center"/>
          </w:tcPr>
          <w:p>
            <w:pPr>
              <w:pStyle w:val="139"/>
              <w:spacing w:before="54" w:line="247" w:lineRule="auto"/>
              <w:ind w:left="116" w:right="105" w:hanging="1"/>
              <w:jc w:val="both"/>
              <w:rPr>
                <w:color w:val="000000"/>
                <w:highlight w:val="none"/>
              </w:rPr>
            </w:pPr>
            <w:r>
              <w:rPr>
                <w:color w:val="000000"/>
                <w:spacing w:val="-5"/>
                <w:highlight w:val="none"/>
              </w:rPr>
              <w:t>项目经理资格：</w:t>
            </w:r>
            <w:r>
              <w:rPr>
                <w:color w:val="000000"/>
                <w:spacing w:val="-37"/>
                <w:highlight w:val="none"/>
              </w:rPr>
              <w:t xml:space="preserve"> </w:t>
            </w:r>
            <w:r>
              <w:rPr>
                <w:rFonts w:hint="eastAsia"/>
                <w:highlight w:val="none"/>
              </w:rPr>
              <w:t>注册建造师（市政公用工程）</w:t>
            </w:r>
            <w:r>
              <w:rPr>
                <w:rFonts w:hint="eastAsia"/>
                <w:highlight w:val="none"/>
                <w:lang w:eastAsia="zh-CN"/>
              </w:rPr>
              <w:t>二级</w:t>
            </w:r>
            <w:r>
              <w:rPr>
                <w:rFonts w:hint="eastAsia"/>
                <w:highlight w:val="none"/>
              </w:rPr>
              <w:t>及以上</w:t>
            </w:r>
            <w:r>
              <w:rPr>
                <w:color w:val="000000"/>
                <w:spacing w:val="-5"/>
                <w:highlight w:val="none"/>
              </w:rPr>
              <w:t>资格并</w:t>
            </w:r>
            <w:r>
              <w:rPr>
                <w:color w:val="000000"/>
                <w:spacing w:val="-6"/>
                <w:highlight w:val="none"/>
              </w:rPr>
              <w:t>在投标单位有</w:t>
            </w:r>
            <w:r>
              <w:rPr>
                <w:color w:val="000000"/>
                <w:spacing w:val="-1"/>
                <w:highlight w:val="none"/>
              </w:rPr>
              <w:t>效注册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1" w:line="219" w:lineRule="auto"/>
              <w:ind w:left="114"/>
              <w:jc w:val="both"/>
              <w:rPr>
                <w:color w:val="000000"/>
              </w:rPr>
            </w:pPr>
            <w:r>
              <w:rPr>
                <w:color w:val="000000"/>
                <w:spacing w:val="-2"/>
              </w:rPr>
              <w:t>合同估算价</w:t>
            </w:r>
          </w:p>
        </w:tc>
        <w:tc>
          <w:tcPr>
            <w:tcW w:w="3112" w:type="dxa"/>
            <w:gridSpan w:val="3"/>
            <w:noWrap w:val="0"/>
            <w:vAlign w:val="center"/>
          </w:tcPr>
          <w:p>
            <w:pPr>
              <w:pStyle w:val="139"/>
              <w:spacing w:before="211" w:line="221" w:lineRule="auto"/>
              <w:ind w:left="121" w:firstLine="210" w:firstLineChars="100"/>
              <w:jc w:val="both"/>
              <w:rPr>
                <w:color w:val="000000"/>
                <w:highlight w:val="none"/>
              </w:rPr>
            </w:pPr>
            <w:r>
              <w:rPr>
                <w:rFonts w:hint="eastAsia" w:ascii="Times New Roman" w:hAnsi="Times New Roman" w:eastAsia="宋体"/>
                <w:b w:val="0"/>
                <w:bCs w:val="0"/>
                <w:color w:val="000000"/>
                <w:kern w:val="2"/>
                <w:sz w:val="21"/>
                <w:szCs w:val="21"/>
                <w:highlight w:val="none"/>
              </w:rPr>
              <w:t>万元</w:t>
            </w:r>
          </w:p>
        </w:tc>
        <w:tc>
          <w:tcPr>
            <w:tcW w:w="1559" w:type="dxa"/>
            <w:gridSpan w:val="4"/>
            <w:noWrap w:val="0"/>
            <w:vAlign w:val="center"/>
          </w:tcPr>
          <w:p>
            <w:pPr>
              <w:pStyle w:val="139"/>
              <w:spacing w:before="56" w:line="247" w:lineRule="auto"/>
              <w:ind w:left="66" w:right="151"/>
              <w:jc w:val="both"/>
              <w:rPr>
                <w:color w:val="000000"/>
              </w:rPr>
            </w:pPr>
            <w:r>
              <w:rPr>
                <w:color w:val="000000"/>
                <w:spacing w:val="12"/>
              </w:rPr>
              <w:t>招标文件售价</w:t>
            </w:r>
            <w:r>
              <w:rPr>
                <w:color w:val="000000"/>
                <w:spacing w:val="3"/>
              </w:rPr>
              <w:t xml:space="preserve"> </w:t>
            </w:r>
            <w:r>
              <w:rPr>
                <w:color w:val="000000"/>
                <w:spacing w:val="-2"/>
              </w:rPr>
              <w:t>金额</w:t>
            </w:r>
          </w:p>
        </w:tc>
        <w:tc>
          <w:tcPr>
            <w:tcW w:w="2646" w:type="dxa"/>
            <w:gridSpan w:val="2"/>
            <w:noWrap w:val="0"/>
            <w:vAlign w:val="center"/>
          </w:tcPr>
          <w:p>
            <w:pPr>
              <w:pStyle w:val="139"/>
              <w:spacing w:before="211" w:line="221" w:lineRule="auto"/>
              <w:ind w:left="65"/>
              <w:jc w:val="both"/>
              <w:rPr>
                <w:color w:val="000000"/>
              </w:rPr>
            </w:pPr>
            <w:r>
              <w:rPr>
                <w:rFonts w:ascii="Calibri" w:hAnsi="Calibri" w:eastAsia="Calibri" w:cs="Calibri"/>
                <w:color w:val="000000"/>
                <w:spacing w:val="-4"/>
              </w:rPr>
              <w:t>0</w:t>
            </w:r>
            <w:r>
              <w:rPr>
                <w:rFonts w:ascii="Calibri" w:hAnsi="Calibri" w:eastAsia="Calibri" w:cs="Calibri"/>
                <w:color w:val="000000"/>
                <w:spacing w:val="10"/>
              </w:rPr>
              <w:t xml:space="preserve">  </w:t>
            </w:r>
            <w:r>
              <w:rPr>
                <w:color w:val="000000"/>
                <w:spacing w:val="-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845" w:type="dxa"/>
            <w:gridSpan w:val="10"/>
            <w:noWrap w:val="0"/>
            <w:vAlign w:val="center"/>
          </w:tcPr>
          <w:p>
            <w:pPr>
              <w:pStyle w:val="139"/>
              <w:spacing w:before="211" w:line="221" w:lineRule="auto"/>
              <w:ind w:left="65"/>
              <w:jc w:val="center"/>
              <w:rPr>
                <w:rFonts w:hint="eastAsia" w:ascii="Calibri" w:hAnsi="Calibri" w:eastAsia="宋体" w:cs="Calibri"/>
                <w:color w:val="000000"/>
                <w:spacing w:val="-4"/>
                <w:lang w:eastAsia="zh-CN"/>
              </w:rPr>
            </w:pPr>
            <w:r>
              <w:rPr>
                <w:rFonts w:hint="eastAsia" w:ascii="Calibri" w:hAnsi="Calibri" w:eastAsia="宋体" w:cs="Calibri"/>
                <w:color w:val="000000"/>
                <w:spacing w:val="-4"/>
                <w:lang w:eastAsia="zh-CN"/>
              </w:rPr>
              <w:t>二标段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7" w:line="221" w:lineRule="auto"/>
              <w:ind w:left="114" w:leftChars="0"/>
              <w:jc w:val="both"/>
              <w:rPr>
                <w:color w:val="000000"/>
                <w:spacing w:val="-2"/>
              </w:rPr>
            </w:pPr>
            <w:r>
              <w:rPr>
                <w:color w:val="000000"/>
                <w:spacing w:val="-1"/>
              </w:rPr>
              <w:t>标段(包)名称</w:t>
            </w:r>
          </w:p>
        </w:tc>
        <w:tc>
          <w:tcPr>
            <w:tcW w:w="3112" w:type="dxa"/>
            <w:gridSpan w:val="3"/>
            <w:noWrap w:val="0"/>
            <w:vAlign w:val="center"/>
          </w:tcPr>
          <w:p>
            <w:pPr>
              <w:pStyle w:val="139"/>
              <w:spacing w:before="51" w:line="249" w:lineRule="auto"/>
              <w:ind w:left="151" w:leftChars="0" w:right="98" w:rightChars="0" w:hanging="40" w:firstLineChars="0"/>
              <w:jc w:val="both"/>
              <w:rPr>
                <w:rFonts w:hint="eastAsia" w:ascii="Times New Roman" w:hAnsi="Times New Roman"/>
                <w:b w:val="0"/>
                <w:bCs w:val="0"/>
                <w:color w:val="000000"/>
                <w:kern w:val="2"/>
                <w:sz w:val="21"/>
                <w:szCs w:val="21"/>
                <w:highlight w:val="yellow"/>
                <w:lang w:val="en-US" w:eastAsia="zh-CN"/>
              </w:rPr>
            </w:pPr>
            <w:r>
              <w:rPr>
                <w:rFonts w:hint="eastAsia" w:ascii="Times New Roman" w:hAnsi="Times New Roman" w:cs="Times New Roman"/>
                <w:b w:val="0"/>
                <w:bCs w:val="0"/>
                <w:color w:val="000000"/>
                <w:kern w:val="2"/>
                <w:sz w:val="21"/>
                <w:szCs w:val="21"/>
                <w:highlight w:val="none"/>
                <w:lang w:val="en-US" w:eastAsia="zh-CN"/>
              </w:rPr>
              <w:t>大石桥市2024年第一批中央水库移民后期扶持资金项目二标段</w:t>
            </w:r>
          </w:p>
        </w:tc>
        <w:tc>
          <w:tcPr>
            <w:tcW w:w="1559" w:type="dxa"/>
            <w:gridSpan w:val="4"/>
            <w:noWrap w:val="0"/>
            <w:vAlign w:val="center"/>
          </w:tcPr>
          <w:p>
            <w:pPr>
              <w:pStyle w:val="139"/>
              <w:spacing w:before="207" w:line="221" w:lineRule="auto"/>
              <w:ind w:left="119" w:leftChars="0"/>
              <w:jc w:val="both"/>
              <w:rPr>
                <w:color w:val="000000"/>
                <w:spacing w:val="12"/>
              </w:rPr>
            </w:pPr>
            <w:r>
              <w:rPr>
                <w:color w:val="000000"/>
                <w:spacing w:val="-1"/>
              </w:rPr>
              <w:t>标段(包)编号</w:t>
            </w:r>
          </w:p>
        </w:tc>
        <w:tc>
          <w:tcPr>
            <w:tcW w:w="2646" w:type="dxa"/>
            <w:gridSpan w:val="2"/>
            <w:noWrap w:val="0"/>
            <w:vAlign w:val="center"/>
          </w:tcPr>
          <w:p>
            <w:pPr>
              <w:pStyle w:val="139"/>
              <w:spacing w:before="241" w:line="183" w:lineRule="auto"/>
              <w:ind w:left="121" w:leftChars="0"/>
              <w:jc w:val="both"/>
              <w:rPr>
                <w:rFonts w:hint="default" w:ascii="Calibri" w:hAnsi="Calibri" w:eastAsia="宋体" w:cs="Calibri"/>
                <w:color w:val="000000"/>
                <w:spacing w:val="-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2" w:line="248" w:lineRule="auto"/>
              <w:ind w:left="114" w:leftChars="0" w:right="106" w:rightChars="0"/>
              <w:jc w:val="both"/>
              <w:rPr>
                <w:color w:val="000000"/>
                <w:spacing w:val="-2"/>
              </w:rPr>
            </w:pPr>
            <w:r>
              <w:rPr>
                <w:color w:val="000000"/>
                <w:spacing w:val="7"/>
              </w:rPr>
              <w:t>标段（包）性</w:t>
            </w:r>
            <w:r>
              <w:rPr>
                <w:color w:val="000000"/>
              </w:rPr>
              <w:t xml:space="preserve"> 质</w:t>
            </w:r>
          </w:p>
        </w:tc>
        <w:tc>
          <w:tcPr>
            <w:tcW w:w="3112" w:type="dxa"/>
            <w:gridSpan w:val="3"/>
            <w:noWrap w:val="0"/>
            <w:vAlign w:val="center"/>
          </w:tcPr>
          <w:p>
            <w:pPr>
              <w:pStyle w:val="139"/>
              <w:spacing w:before="208" w:line="220" w:lineRule="auto"/>
              <w:ind w:left="115" w:leftChars="0"/>
              <w:jc w:val="both"/>
              <w:rPr>
                <w:rFonts w:hint="eastAsia" w:ascii="Times New Roman" w:hAnsi="Times New Roman"/>
                <w:b w:val="0"/>
                <w:bCs w:val="0"/>
                <w:color w:val="000000"/>
                <w:kern w:val="2"/>
                <w:sz w:val="21"/>
                <w:szCs w:val="21"/>
                <w:highlight w:val="yellow"/>
                <w:lang w:val="en-US" w:eastAsia="zh-CN"/>
              </w:rPr>
            </w:pPr>
            <w:r>
              <w:rPr>
                <w:color w:val="000000"/>
                <w:spacing w:val="-1"/>
              </w:rPr>
              <w:t>依法必须招标的项目</w:t>
            </w:r>
          </w:p>
        </w:tc>
        <w:tc>
          <w:tcPr>
            <w:tcW w:w="1559" w:type="dxa"/>
            <w:gridSpan w:val="4"/>
            <w:noWrap w:val="0"/>
            <w:vAlign w:val="center"/>
          </w:tcPr>
          <w:p>
            <w:pPr>
              <w:pStyle w:val="139"/>
              <w:spacing w:before="208" w:line="221" w:lineRule="auto"/>
              <w:ind w:left="119" w:leftChars="0"/>
              <w:jc w:val="both"/>
              <w:rPr>
                <w:color w:val="000000"/>
                <w:spacing w:val="12"/>
              </w:rPr>
            </w:pPr>
            <w:r>
              <w:rPr>
                <w:color w:val="000000"/>
                <w:spacing w:val="-1"/>
              </w:rPr>
              <w:t>标段(包)内容</w:t>
            </w:r>
          </w:p>
        </w:tc>
        <w:tc>
          <w:tcPr>
            <w:tcW w:w="2646" w:type="dxa"/>
            <w:gridSpan w:val="2"/>
            <w:noWrap w:val="0"/>
            <w:vAlign w:val="center"/>
          </w:tcPr>
          <w:p>
            <w:pPr>
              <w:pStyle w:val="139"/>
              <w:spacing w:before="209" w:line="223" w:lineRule="auto"/>
              <w:ind w:left="118" w:leftChars="0"/>
              <w:jc w:val="both"/>
              <w:rPr>
                <w:rFonts w:ascii="Calibri" w:hAnsi="Calibri" w:eastAsia="Calibri" w:cs="Calibri"/>
                <w:color w:val="000000"/>
                <w:spacing w:val="-4"/>
              </w:rPr>
            </w:pPr>
            <w:r>
              <w:rPr>
                <w:color w:val="000000"/>
                <w:spacing w:val="-2"/>
              </w:rPr>
              <w:t>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8" w:line="221" w:lineRule="auto"/>
              <w:ind w:left="122" w:leftChars="0"/>
              <w:jc w:val="both"/>
              <w:rPr>
                <w:color w:val="000000"/>
                <w:spacing w:val="-2"/>
              </w:rPr>
            </w:pPr>
            <w:r>
              <w:rPr>
                <w:color w:val="000000"/>
                <w:spacing w:val="-4"/>
              </w:rPr>
              <w:t>资质要求</w:t>
            </w:r>
          </w:p>
        </w:tc>
        <w:tc>
          <w:tcPr>
            <w:tcW w:w="7317" w:type="dxa"/>
            <w:gridSpan w:val="9"/>
            <w:noWrap w:val="0"/>
            <w:vAlign w:val="center"/>
          </w:tcPr>
          <w:p>
            <w:pPr>
              <w:pStyle w:val="139"/>
              <w:spacing w:before="53" w:line="247" w:lineRule="auto"/>
              <w:ind w:left="116" w:leftChars="0" w:right="105" w:rightChars="0"/>
              <w:jc w:val="both"/>
              <w:rPr>
                <w:rFonts w:ascii="Calibri" w:hAnsi="Calibri" w:eastAsia="Calibri" w:cs="Calibri"/>
                <w:color w:val="000000"/>
                <w:spacing w:val="-4"/>
              </w:rPr>
            </w:pPr>
            <w:r>
              <w:rPr>
                <w:rFonts w:hint="eastAsia"/>
              </w:rPr>
              <w:t>市政公用工程施工总承包叁级（含叁级）及以上资质</w:t>
            </w:r>
            <w:r>
              <w:rPr>
                <w:color w:val="000000"/>
                <w:spacing w:val="-2"/>
              </w:rPr>
              <w:t>，并在人员、设备、资金等方面</w:t>
            </w:r>
            <w:r>
              <w:rPr>
                <w:color w:val="000000"/>
                <w:spacing w:val="17"/>
              </w:rPr>
              <w:t xml:space="preserve"> </w:t>
            </w:r>
            <w:r>
              <w:rPr>
                <w:color w:val="000000"/>
                <w:spacing w:val="-1"/>
              </w:rPr>
              <w:t>具有相应的施工能力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528" w:type="dxa"/>
            <w:noWrap w:val="0"/>
            <w:vAlign w:val="center"/>
          </w:tcPr>
          <w:p>
            <w:pPr>
              <w:pStyle w:val="139"/>
              <w:spacing w:before="53" w:line="221" w:lineRule="auto"/>
              <w:ind w:left="114" w:leftChars="0"/>
              <w:jc w:val="both"/>
              <w:rPr>
                <w:color w:val="000000"/>
                <w:spacing w:val="-2"/>
              </w:rPr>
            </w:pPr>
            <w:r>
              <w:rPr>
                <w:color w:val="000000"/>
                <w:spacing w:val="-2"/>
              </w:rPr>
              <w:t>质量要求</w:t>
            </w:r>
          </w:p>
        </w:tc>
        <w:tc>
          <w:tcPr>
            <w:tcW w:w="7317" w:type="dxa"/>
            <w:gridSpan w:val="9"/>
            <w:noWrap w:val="0"/>
            <w:vAlign w:val="center"/>
          </w:tcPr>
          <w:p>
            <w:pPr>
              <w:pStyle w:val="139"/>
              <w:spacing w:before="52" w:line="221" w:lineRule="auto"/>
              <w:ind w:left="112" w:leftChars="0"/>
              <w:jc w:val="both"/>
              <w:rPr>
                <w:rFonts w:ascii="Calibri" w:hAnsi="Calibri" w:eastAsia="Calibri" w:cs="Calibri"/>
                <w:color w:val="000000"/>
                <w:spacing w:val="-4"/>
              </w:rPr>
            </w:pPr>
            <w:r>
              <w:rPr>
                <w:rFonts w:hint="eastAsia"/>
                <w:color w:val="000000"/>
                <w:spacing w:val="-2"/>
                <w:highlight w:val="none"/>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spacing w:line="450" w:lineRule="auto"/>
              <w:jc w:val="both"/>
              <w:rPr>
                <w:rFonts w:ascii="Arial"/>
                <w:color w:val="000000"/>
                <w:sz w:val="21"/>
              </w:rPr>
            </w:pPr>
          </w:p>
          <w:p>
            <w:pPr>
              <w:pStyle w:val="139"/>
              <w:spacing w:before="68" w:line="221" w:lineRule="auto"/>
              <w:ind w:left="114" w:leftChars="0"/>
              <w:jc w:val="both"/>
              <w:rPr>
                <w:color w:val="000000"/>
                <w:spacing w:val="-2"/>
              </w:rPr>
            </w:pPr>
            <w:r>
              <w:rPr>
                <w:color w:val="000000"/>
                <w:spacing w:val="-2"/>
              </w:rPr>
              <w:t>招标范围</w:t>
            </w:r>
          </w:p>
        </w:tc>
        <w:tc>
          <w:tcPr>
            <w:tcW w:w="7317" w:type="dxa"/>
            <w:gridSpan w:val="9"/>
            <w:noWrap w:val="0"/>
            <w:vAlign w:val="center"/>
          </w:tcPr>
          <w:p>
            <w:pPr>
              <w:pStyle w:val="139"/>
              <w:spacing w:before="61" w:line="221" w:lineRule="auto"/>
              <w:ind w:left="114" w:leftChars="0"/>
              <w:jc w:val="both"/>
              <w:rPr>
                <w:rFonts w:hint="eastAsia" w:ascii="Calibri" w:hAnsi="Calibri" w:eastAsia="宋体" w:cs="Calibri"/>
                <w:color w:val="000000"/>
                <w:spacing w:val="-4"/>
                <w:lang w:eastAsia="zh-CN"/>
              </w:rPr>
            </w:pPr>
            <w:r>
              <w:rPr>
                <w:rFonts w:hint="eastAsia" w:ascii="Times New Roman" w:hAnsi="Times New Roman" w:cs="Times New Roman"/>
                <w:b w:val="0"/>
                <w:bCs w:val="0"/>
                <w:color w:val="000000"/>
                <w:kern w:val="2"/>
                <w:sz w:val="21"/>
                <w:szCs w:val="21"/>
                <w:highlight w:val="none"/>
                <w:lang w:val="en-US" w:eastAsia="zh-CN"/>
              </w:rPr>
              <w:t>高坎镇、沟沿镇、官屯镇、黄土岭镇、旗口镇、水源镇、汤池镇、永安镇</w:t>
            </w:r>
            <w:r>
              <w:rPr>
                <w:rFonts w:hint="eastAsia"/>
                <w:szCs w:val="21"/>
                <w:highlight w:val="none"/>
                <w:lang w:val="en-US" w:eastAsia="zh-CN"/>
              </w:rPr>
              <w:t>8</w:t>
            </w:r>
            <w:r>
              <w:rPr>
                <w:rFonts w:hint="eastAsia"/>
                <w:szCs w:val="21"/>
                <w:highlight w:val="none"/>
              </w:rPr>
              <w:t>个乡镇，</w:t>
            </w:r>
            <w:r>
              <w:rPr>
                <w:rFonts w:hint="eastAsia"/>
                <w:szCs w:val="21"/>
                <w:highlight w:val="none"/>
                <w:lang w:val="en-US" w:eastAsia="zh-CN"/>
              </w:rPr>
              <w:t>11</w:t>
            </w:r>
            <w:r>
              <w:rPr>
                <w:rFonts w:hint="eastAsia"/>
                <w:szCs w:val="21"/>
                <w:highlight w:val="none"/>
              </w:rPr>
              <w:t>个行政村新</w:t>
            </w:r>
            <w:r>
              <w:rPr>
                <w:rFonts w:hint="eastAsia"/>
                <w:szCs w:val="21"/>
                <w:highlight w:val="none"/>
                <w:lang w:eastAsia="zh-CN"/>
              </w:rPr>
              <w:t>修水泥</w:t>
            </w:r>
            <w:r>
              <w:rPr>
                <w:rFonts w:hint="eastAsia"/>
                <w:szCs w:val="21"/>
                <w:highlight w:val="none"/>
              </w:rPr>
              <w:t>路及沥青混凝土道路长度</w:t>
            </w:r>
            <w:r>
              <w:rPr>
                <w:rFonts w:hint="eastAsia"/>
                <w:szCs w:val="21"/>
                <w:highlight w:val="none"/>
                <w:lang w:val="en-US" w:eastAsia="zh-CN"/>
              </w:rPr>
              <w:t>1.544</w:t>
            </w:r>
            <w:r>
              <w:rPr>
                <w:rFonts w:hint="eastAsia"/>
                <w:szCs w:val="21"/>
                <w:highlight w:val="none"/>
              </w:rPr>
              <w:t>km</w:t>
            </w:r>
            <w:r>
              <w:rPr>
                <w:rFonts w:hint="eastAsia"/>
                <w:szCs w:val="21"/>
                <w:highlight w:val="none"/>
                <w:lang w:eastAsia="zh-CN"/>
              </w:rPr>
              <w:t>；</w:t>
            </w:r>
            <w:r>
              <w:rPr>
                <w:rFonts w:hint="eastAsia"/>
                <w:szCs w:val="21"/>
                <w:highlight w:val="none"/>
              </w:rPr>
              <w:t>新建太阳能路灯</w:t>
            </w:r>
            <w:r>
              <w:rPr>
                <w:rFonts w:hint="eastAsia"/>
                <w:szCs w:val="21"/>
                <w:highlight w:val="none"/>
                <w:lang w:val="en-US" w:eastAsia="zh-CN"/>
              </w:rPr>
              <w:t>1906</w:t>
            </w:r>
            <w:r>
              <w:rPr>
                <w:rFonts w:hint="eastAsia"/>
                <w:szCs w:val="21"/>
                <w:highlight w:val="none"/>
              </w:rPr>
              <w:t>盏</w:t>
            </w:r>
            <w:r>
              <w:rPr>
                <w:rFonts w:hint="eastAsia"/>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2" w:line="221" w:lineRule="auto"/>
              <w:ind w:left="116" w:leftChars="0"/>
              <w:jc w:val="both"/>
              <w:rPr>
                <w:color w:val="000000"/>
                <w:spacing w:val="-2"/>
              </w:rPr>
            </w:pPr>
            <w:r>
              <w:rPr>
                <w:color w:val="000000"/>
                <w:spacing w:val="-2"/>
              </w:rPr>
              <w:t>投标保证金</w:t>
            </w:r>
          </w:p>
        </w:tc>
        <w:tc>
          <w:tcPr>
            <w:tcW w:w="3112" w:type="dxa"/>
            <w:gridSpan w:val="3"/>
            <w:noWrap w:val="0"/>
            <w:vAlign w:val="center"/>
          </w:tcPr>
          <w:p>
            <w:pPr>
              <w:pStyle w:val="139"/>
              <w:spacing w:before="212" w:line="221" w:lineRule="auto"/>
              <w:ind w:left="127" w:leftChars="0"/>
              <w:jc w:val="both"/>
              <w:rPr>
                <w:rFonts w:hint="eastAsia" w:ascii="Times New Roman" w:hAnsi="Times New Roman"/>
                <w:b w:val="0"/>
                <w:bCs w:val="0"/>
                <w:color w:val="000000"/>
                <w:kern w:val="2"/>
                <w:sz w:val="21"/>
                <w:szCs w:val="21"/>
                <w:highlight w:val="none"/>
                <w:lang w:val="en-US" w:eastAsia="zh-CN"/>
              </w:rPr>
            </w:pPr>
            <w:r>
              <w:rPr>
                <w:rFonts w:hint="eastAsia"/>
                <w:color w:val="000000"/>
                <w:spacing w:val="-10"/>
                <w:highlight w:val="none"/>
                <w:lang w:val="en-US" w:eastAsia="zh-CN"/>
              </w:rPr>
              <w:t xml:space="preserve">  </w:t>
            </w:r>
            <w:r>
              <w:rPr>
                <w:color w:val="000000"/>
                <w:spacing w:val="-10"/>
                <w:highlight w:val="none"/>
              </w:rPr>
              <w:t>万元</w:t>
            </w:r>
          </w:p>
        </w:tc>
        <w:tc>
          <w:tcPr>
            <w:tcW w:w="1559" w:type="dxa"/>
            <w:gridSpan w:val="4"/>
            <w:noWrap w:val="0"/>
            <w:vAlign w:val="center"/>
          </w:tcPr>
          <w:p>
            <w:pPr>
              <w:pStyle w:val="139"/>
              <w:spacing w:before="56" w:line="248" w:lineRule="auto"/>
              <w:ind w:left="122" w:leftChars="0" w:right="97" w:rightChars="0" w:hanging="3" w:firstLineChars="0"/>
              <w:jc w:val="both"/>
              <w:rPr>
                <w:color w:val="000000"/>
                <w:spacing w:val="12"/>
                <w:highlight w:val="none"/>
              </w:rPr>
            </w:pPr>
            <w:r>
              <w:rPr>
                <w:color w:val="000000"/>
                <w:spacing w:val="23"/>
                <w:highlight w:val="none"/>
              </w:rPr>
              <w:t>保证金缴纳方</w:t>
            </w:r>
            <w:r>
              <w:rPr>
                <w:color w:val="000000"/>
                <w:spacing w:val="3"/>
                <w:highlight w:val="none"/>
              </w:rPr>
              <w:t xml:space="preserve"> </w:t>
            </w:r>
            <w:r>
              <w:rPr>
                <w:color w:val="000000"/>
                <w:highlight w:val="none"/>
              </w:rPr>
              <w:t>式</w:t>
            </w:r>
          </w:p>
        </w:tc>
        <w:tc>
          <w:tcPr>
            <w:tcW w:w="2646" w:type="dxa"/>
            <w:gridSpan w:val="2"/>
            <w:noWrap w:val="0"/>
            <w:vAlign w:val="center"/>
          </w:tcPr>
          <w:p>
            <w:pPr>
              <w:pStyle w:val="139"/>
              <w:spacing w:before="56" w:line="247" w:lineRule="auto"/>
              <w:ind w:left="120" w:leftChars="0" w:right="139" w:rightChars="0"/>
              <w:jc w:val="both"/>
              <w:rPr>
                <w:rFonts w:ascii="Calibri" w:hAnsi="Calibri" w:eastAsia="Calibri" w:cs="Calibri"/>
                <w:color w:val="000000"/>
                <w:spacing w:val="-4"/>
                <w:highlight w:val="none"/>
              </w:rPr>
            </w:pPr>
            <w:r>
              <w:rPr>
                <w:color w:val="000000"/>
                <w:highlight w:val="none"/>
              </w:rPr>
              <w:t>保函、电汇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4" w:line="248" w:lineRule="auto"/>
              <w:ind w:left="115" w:leftChars="0" w:right="107" w:rightChars="0" w:hanging="2" w:firstLineChars="0"/>
              <w:jc w:val="both"/>
              <w:rPr>
                <w:color w:val="000000"/>
                <w:spacing w:val="-2"/>
              </w:rPr>
            </w:pPr>
            <w:r>
              <w:rPr>
                <w:color w:val="000000"/>
                <w:spacing w:val="6"/>
              </w:rPr>
              <w:t>供货/服务/施</w:t>
            </w:r>
            <w:r>
              <w:rPr>
                <w:color w:val="000000"/>
              </w:rPr>
              <w:t xml:space="preserve"> </w:t>
            </w:r>
            <w:r>
              <w:rPr>
                <w:color w:val="000000"/>
                <w:spacing w:val="-2"/>
              </w:rPr>
              <w:t>工开始时间</w:t>
            </w:r>
          </w:p>
        </w:tc>
        <w:tc>
          <w:tcPr>
            <w:tcW w:w="3112" w:type="dxa"/>
            <w:gridSpan w:val="3"/>
            <w:noWrap w:val="0"/>
            <w:vAlign w:val="center"/>
          </w:tcPr>
          <w:p>
            <w:pPr>
              <w:pStyle w:val="139"/>
              <w:spacing w:before="244" w:line="183" w:lineRule="auto"/>
              <w:ind w:left="114" w:leftChars="0"/>
              <w:jc w:val="both"/>
              <w:rPr>
                <w:rFonts w:hint="default" w:ascii="Times New Roman" w:hAnsi="Times New Roman"/>
                <w:b w:val="0"/>
                <w:bCs w:val="0"/>
                <w:color w:val="000000"/>
                <w:kern w:val="2"/>
                <w:sz w:val="21"/>
                <w:szCs w:val="21"/>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c>
          <w:tcPr>
            <w:tcW w:w="1559" w:type="dxa"/>
            <w:gridSpan w:val="4"/>
            <w:noWrap w:val="0"/>
            <w:vAlign w:val="center"/>
          </w:tcPr>
          <w:p>
            <w:pPr>
              <w:pStyle w:val="139"/>
              <w:spacing w:before="53" w:line="248" w:lineRule="auto"/>
              <w:ind w:left="120" w:leftChars="0" w:right="97" w:rightChars="0" w:hanging="2" w:firstLineChars="0"/>
              <w:jc w:val="both"/>
              <w:rPr>
                <w:color w:val="000000"/>
                <w:spacing w:val="12"/>
                <w:highlight w:val="none"/>
              </w:rPr>
            </w:pPr>
            <w:r>
              <w:rPr>
                <w:color w:val="000000"/>
                <w:spacing w:val="20"/>
                <w:highlight w:val="none"/>
              </w:rPr>
              <w:t>供货/服务/施</w:t>
            </w:r>
            <w:r>
              <w:rPr>
                <w:color w:val="000000"/>
                <w:spacing w:val="2"/>
                <w:highlight w:val="none"/>
              </w:rPr>
              <w:t xml:space="preserve"> </w:t>
            </w:r>
            <w:r>
              <w:rPr>
                <w:color w:val="000000"/>
                <w:spacing w:val="-2"/>
                <w:highlight w:val="none"/>
              </w:rPr>
              <w:t>工结束时间</w:t>
            </w:r>
          </w:p>
        </w:tc>
        <w:tc>
          <w:tcPr>
            <w:tcW w:w="2646" w:type="dxa"/>
            <w:gridSpan w:val="2"/>
            <w:noWrap w:val="0"/>
            <w:vAlign w:val="center"/>
          </w:tcPr>
          <w:p>
            <w:pPr>
              <w:pStyle w:val="139"/>
              <w:spacing w:before="244" w:line="183" w:lineRule="auto"/>
              <w:ind w:left="121" w:leftChars="0"/>
              <w:jc w:val="both"/>
              <w:rPr>
                <w:rFonts w:hint="default" w:ascii="Calibri" w:hAnsi="Calibri" w:eastAsia="宋体" w:cs="Calibri"/>
                <w:color w:val="000000"/>
                <w:spacing w:val="-4"/>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3" w:line="248" w:lineRule="auto"/>
              <w:ind w:left="114" w:leftChars="0" w:right="106" w:rightChars="0"/>
              <w:jc w:val="both"/>
              <w:rPr>
                <w:color w:val="000000"/>
                <w:spacing w:val="-2"/>
              </w:rPr>
            </w:pPr>
            <w:r>
              <w:rPr>
                <w:color w:val="000000"/>
                <w:spacing w:val="7"/>
              </w:rPr>
              <w:t>标段（包）开</w:t>
            </w:r>
            <w:r>
              <w:rPr>
                <w:color w:val="000000"/>
              </w:rPr>
              <w:t xml:space="preserve"> </w:t>
            </w:r>
            <w:r>
              <w:rPr>
                <w:color w:val="000000"/>
                <w:spacing w:val="-2"/>
              </w:rPr>
              <w:t>标地点</w:t>
            </w:r>
          </w:p>
        </w:tc>
        <w:tc>
          <w:tcPr>
            <w:tcW w:w="7317" w:type="dxa"/>
            <w:gridSpan w:val="9"/>
            <w:noWrap w:val="0"/>
            <w:vAlign w:val="center"/>
          </w:tcPr>
          <w:p>
            <w:pPr>
              <w:adjustRightInd w:val="0"/>
              <w:snapToGrid w:val="0"/>
              <w:spacing w:line="460" w:lineRule="exact"/>
              <w:jc w:val="both"/>
              <w:rPr>
                <w:rFonts w:ascii="Calibri" w:hAnsi="Calibri" w:eastAsia="Calibri" w:cs="Calibri"/>
                <w:color w:val="000000"/>
                <w:spacing w:val="-4"/>
              </w:rPr>
            </w:pPr>
            <w:r>
              <w:rPr>
                <w:rFonts w:ascii="Helvetica" w:hAnsi="Helvetica"/>
                <w:color w:val="000000"/>
                <w:shd w:val="clear" w:color="auto" w:fill="FFFFFF"/>
              </w:rPr>
              <w:t>大石桥市审批技术审查与公共资源交易中心(营口大石桥市二高街2号)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5" w:line="247" w:lineRule="auto"/>
              <w:ind w:left="113" w:leftChars="0" w:right="106" w:rightChars="0" w:firstLine="3" w:firstLineChars="0"/>
              <w:jc w:val="both"/>
              <w:rPr>
                <w:color w:val="000000"/>
                <w:spacing w:val="-2"/>
              </w:rPr>
            </w:pPr>
            <w:r>
              <w:rPr>
                <w:color w:val="000000"/>
                <w:spacing w:val="6"/>
              </w:rPr>
              <w:t>项目负责人资</w:t>
            </w:r>
            <w:r>
              <w:rPr>
                <w:color w:val="000000"/>
                <w:spacing w:val="-2"/>
              </w:rPr>
              <w:t>格条件</w:t>
            </w:r>
          </w:p>
        </w:tc>
        <w:tc>
          <w:tcPr>
            <w:tcW w:w="7317" w:type="dxa"/>
            <w:gridSpan w:val="9"/>
            <w:noWrap w:val="0"/>
            <w:vAlign w:val="center"/>
          </w:tcPr>
          <w:p>
            <w:pPr>
              <w:pStyle w:val="139"/>
              <w:spacing w:before="54" w:line="247" w:lineRule="auto"/>
              <w:ind w:left="116" w:leftChars="0" w:right="105" w:rightChars="0" w:hanging="1" w:firstLineChars="0"/>
              <w:jc w:val="both"/>
              <w:rPr>
                <w:rFonts w:ascii="Calibri" w:hAnsi="Calibri" w:eastAsia="Calibri" w:cs="Calibri"/>
                <w:color w:val="000000"/>
                <w:spacing w:val="-4"/>
                <w:highlight w:val="none"/>
              </w:rPr>
            </w:pPr>
            <w:r>
              <w:rPr>
                <w:color w:val="000000"/>
                <w:spacing w:val="-5"/>
                <w:highlight w:val="none"/>
              </w:rPr>
              <w:t>项目经理资格：</w:t>
            </w:r>
            <w:r>
              <w:rPr>
                <w:color w:val="000000"/>
                <w:spacing w:val="-37"/>
                <w:highlight w:val="none"/>
              </w:rPr>
              <w:t xml:space="preserve"> </w:t>
            </w:r>
            <w:r>
              <w:rPr>
                <w:rFonts w:hint="eastAsia"/>
                <w:highlight w:val="none"/>
              </w:rPr>
              <w:t>注册建造师（市政公用工程）二级及以上</w:t>
            </w:r>
            <w:r>
              <w:rPr>
                <w:color w:val="000000"/>
                <w:spacing w:val="-5"/>
                <w:highlight w:val="none"/>
              </w:rPr>
              <w:t>资格并</w:t>
            </w:r>
            <w:r>
              <w:rPr>
                <w:color w:val="000000"/>
                <w:spacing w:val="-6"/>
                <w:highlight w:val="none"/>
              </w:rPr>
              <w:t>在投标单位有</w:t>
            </w:r>
            <w:r>
              <w:rPr>
                <w:color w:val="000000"/>
                <w:spacing w:val="-1"/>
                <w:highlight w:val="none"/>
              </w:rPr>
              <w:t>效注册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1" w:line="219" w:lineRule="auto"/>
              <w:ind w:left="114" w:leftChars="0"/>
              <w:jc w:val="both"/>
              <w:rPr>
                <w:color w:val="000000"/>
                <w:spacing w:val="-2"/>
              </w:rPr>
            </w:pPr>
            <w:r>
              <w:rPr>
                <w:color w:val="000000"/>
                <w:spacing w:val="-2"/>
              </w:rPr>
              <w:t>合同估算价</w:t>
            </w:r>
          </w:p>
        </w:tc>
        <w:tc>
          <w:tcPr>
            <w:tcW w:w="3112" w:type="dxa"/>
            <w:gridSpan w:val="3"/>
            <w:noWrap w:val="0"/>
            <w:vAlign w:val="center"/>
          </w:tcPr>
          <w:p>
            <w:pPr>
              <w:pStyle w:val="139"/>
              <w:spacing w:before="211" w:line="221" w:lineRule="auto"/>
              <w:ind w:left="121" w:leftChars="0"/>
              <w:jc w:val="both"/>
              <w:rPr>
                <w:rFonts w:hint="eastAsia" w:ascii="Times New Roman" w:hAnsi="Times New Roman"/>
                <w:b w:val="0"/>
                <w:bCs w:val="0"/>
                <w:color w:val="000000"/>
                <w:kern w:val="2"/>
                <w:sz w:val="21"/>
                <w:szCs w:val="21"/>
                <w:highlight w:val="none"/>
                <w:lang w:val="en-US" w:eastAsia="zh-CN"/>
              </w:rPr>
            </w:pPr>
            <w:r>
              <w:rPr>
                <w:rFonts w:hint="eastAsia" w:ascii="Times New Roman" w:hAnsi="Times New Roman"/>
                <w:b w:val="0"/>
                <w:bCs w:val="0"/>
                <w:color w:val="000000"/>
                <w:kern w:val="2"/>
                <w:sz w:val="21"/>
                <w:szCs w:val="21"/>
                <w:highlight w:val="none"/>
                <w:lang w:val="en-US" w:eastAsia="zh-CN"/>
              </w:rPr>
              <w:t xml:space="preserve">  </w:t>
            </w:r>
            <w:r>
              <w:rPr>
                <w:rFonts w:hint="eastAsia" w:ascii="Times New Roman" w:hAnsi="Times New Roman" w:eastAsia="宋体"/>
                <w:b w:val="0"/>
                <w:bCs w:val="0"/>
                <w:color w:val="000000"/>
                <w:kern w:val="2"/>
                <w:sz w:val="21"/>
                <w:szCs w:val="21"/>
                <w:highlight w:val="none"/>
              </w:rPr>
              <w:t>万元</w:t>
            </w:r>
          </w:p>
        </w:tc>
        <w:tc>
          <w:tcPr>
            <w:tcW w:w="1496" w:type="dxa"/>
            <w:gridSpan w:val="2"/>
            <w:noWrap w:val="0"/>
            <w:vAlign w:val="center"/>
          </w:tcPr>
          <w:p>
            <w:pPr>
              <w:pStyle w:val="139"/>
              <w:spacing w:before="56" w:line="247" w:lineRule="auto"/>
              <w:ind w:left="66" w:leftChars="0" w:right="151" w:rightChars="0"/>
              <w:jc w:val="both"/>
              <w:rPr>
                <w:color w:val="000000"/>
                <w:spacing w:val="12"/>
                <w:highlight w:val="none"/>
              </w:rPr>
            </w:pPr>
            <w:r>
              <w:rPr>
                <w:color w:val="000000"/>
                <w:spacing w:val="12"/>
                <w:highlight w:val="none"/>
              </w:rPr>
              <w:t>招标文件售价</w:t>
            </w:r>
            <w:r>
              <w:rPr>
                <w:color w:val="000000"/>
                <w:spacing w:val="3"/>
                <w:highlight w:val="none"/>
              </w:rPr>
              <w:t xml:space="preserve"> </w:t>
            </w:r>
            <w:r>
              <w:rPr>
                <w:color w:val="000000"/>
                <w:spacing w:val="-2"/>
                <w:highlight w:val="none"/>
              </w:rPr>
              <w:t>金额</w:t>
            </w:r>
          </w:p>
        </w:tc>
        <w:tc>
          <w:tcPr>
            <w:tcW w:w="2709" w:type="dxa"/>
            <w:gridSpan w:val="4"/>
            <w:noWrap w:val="0"/>
            <w:vAlign w:val="center"/>
          </w:tcPr>
          <w:p>
            <w:pPr>
              <w:pStyle w:val="139"/>
              <w:spacing w:before="211" w:line="221" w:lineRule="auto"/>
              <w:ind w:left="65" w:leftChars="0"/>
              <w:jc w:val="both"/>
              <w:rPr>
                <w:rFonts w:ascii="Calibri" w:hAnsi="Calibri" w:eastAsia="Calibri" w:cs="Calibri"/>
                <w:color w:val="000000"/>
                <w:spacing w:val="-4"/>
                <w:highlight w:val="none"/>
              </w:rPr>
            </w:pPr>
            <w:r>
              <w:rPr>
                <w:rFonts w:ascii="Calibri" w:hAnsi="Calibri" w:eastAsia="Calibri" w:cs="Calibri"/>
                <w:color w:val="000000"/>
                <w:spacing w:val="-4"/>
                <w:highlight w:val="none"/>
              </w:rPr>
              <w:t>0</w:t>
            </w:r>
            <w:r>
              <w:rPr>
                <w:rFonts w:ascii="Calibri" w:hAnsi="Calibri" w:eastAsia="Calibri" w:cs="Calibri"/>
                <w:color w:val="000000"/>
                <w:spacing w:val="10"/>
                <w:highlight w:val="none"/>
              </w:rPr>
              <w:t xml:space="preserve">  </w:t>
            </w:r>
            <w:r>
              <w:rPr>
                <w:color w:val="000000"/>
                <w:spacing w:val="-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845" w:type="dxa"/>
            <w:gridSpan w:val="10"/>
            <w:noWrap w:val="0"/>
            <w:vAlign w:val="center"/>
          </w:tcPr>
          <w:p>
            <w:pPr>
              <w:pStyle w:val="139"/>
              <w:spacing w:before="211" w:line="221" w:lineRule="auto"/>
              <w:ind w:left="65"/>
              <w:jc w:val="center"/>
              <w:rPr>
                <w:rFonts w:hint="eastAsia" w:ascii="Calibri" w:hAnsi="Calibri" w:eastAsia="宋体" w:cs="Calibri"/>
                <w:color w:val="000000"/>
                <w:spacing w:val="-4"/>
                <w:lang w:eastAsia="zh-CN"/>
              </w:rPr>
            </w:pPr>
            <w:r>
              <w:rPr>
                <w:rFonts w:hint="eastAsia" w:ascii="Calibri" w:hAnsi="Calibri" w:eastAsia="宋体" w:cs="Calibri"/>
                <w:color w:val="000000"/>
                <w:spacing w:val="-4"/>
                <w:lang w:eastAsia="zh-CN"/>
              </w:rPr>
              <w:t>三标段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528" w:type="dxa"/>
            <w:noWrap w:val="0"/>
            <w:vAlign w:val="center"/>
          </w:tcPr>
          <w:p>
            <w:pPr>
              <w:pStyle w:val="139"/>
              <w:spacing w:before="207" w:line="221" w:lineRule="auto"/>
              <w:ind w:left="114" w:leftChars="0"/>
              <w:jc w:val="both"/>
              <w:rPr>
                <w:color w:val="000000"/>
                <w:spacing w:val="-2"/>
              </w:rPr>
            </w:pPr>
            <w:r>
              <w:rPr>
                <w:color w:val="000000"/>
                <w:spacing w:val="-1"/>
              </w:rPr>
              <w:t>标段(包)名称</w:t>
            </w:r>
          </w:p>
        </w:tc>
        <w:tc>
          <w:tcPr>
            <w:tcW w:w="3112" w:type="dxa"/>
            <w:gridSpan w:val="3"/>
            <w:noWrap w:val="0"/>
            <w:vAlign w:val="center"/>
          </w:tcPr>
          <w:p>
            <w:pPr>
              <w:pStyle w:val="139"/>
              <w:spacing w:before="51" w:line="249" w:lineRule="auto"/>
              <w:ind w:left="151" w:leftChars="0" w:right="98" w:rightChars="0" w:hanging="40" w:firstLineChars="0"/>
              <w:jc w:val="both"/>
              <w:rPr>
                <w:rFonts w:hint="eastAsia" w:ascii="Times New Roman" w:hAnsi="Times New Roman"/>
                <w:b w:val="0"/>
                <w:bCs w:val="0"/>
                <w:color w:val="000000"/>
                <w:kern w:val="2"/>
                <w:sz w:val="21"/>
                <w:szCs w:val="21"/>
                <w:highlight w:val="yellow"/>
                <w:lang w:val="en-US" w:eastAsia="zh-CN"/>
              </w:rPr>
            </w:pPr>
            <w:r>
              <w:rPr>
                <w:rFonts w:hint="eastAsia" w:ascii="Times New Roman" w:hAnsi="Times New Roman" w:cs="Times New Roman"/>
                <w:b w:val="0"/>
                <w:bCs w:val="0"/>
                <w:color w:val="000000"/>
                <w:kern w:val="2"/>
                <w:sz w:val="21"/>
                <w:szCs w:val="21"/>
                <w:highlight w:val="none"/>
                <w:lang w:val="en-US" w:eastAsia="zh-CN"/>
              </w:rPr>
              <w:t>大石桥市2024年第一批中央水库移民后期扶持资金项目三标段</w:t>
            </w:r>
          </w:p>
        </w:tc>
        <w:tc>
          <w:tcPr>
            <w:tcW w:w="1559" w:type="dxa"/>
            <w:gridSpan w:val="4"/>
            <w:noWrap w:val="0"/>
            <w:vAlign w:val="center"/>
          </w:tcPr>
          <w:p>
            <w:pPr>
              <w:pStyle w:val="139"/>
              <w:spacing w:before="207" w:line="221" w:lineRule="auto"/>
              <w:ind w:left="119" w:leftChars="0"/>
              <w:jc w:val="both"/>
              <w:rPr>
                <w:color w:val="000000"/>
                <w:spacing w:val="12"/>
              </w:rPr>
            </w:pPr>
            <w:r>
              <w:rPr>
                <w:color w:val="000000"/>
                <w:spacing w:val="-1"/>
              </w:rPr>
              <w:t>标段(包)编号</w:t>
            </w:r>
          </w:p>
        </w:tc>
        <w:tc>
          <w:tcPr>
            <w:tcW w:w="2646" w:type="dxa"/>
            <w:gridSpan w:val="2"/>
            <w:noWrap w:val="0"/>
            <w:vAlign w:val="center"/>
          </w:tcPr>
          <w:p>
            <w:pPr>
              <w:pStyle w:val="139"/>
              <w:spacing w:before="241" w:line="183" w:lineRule="auto"/>
              <w:ind w:left="121" w:leftChars="0"/>
              <w:jc w:val="both"/>
              <w:rPr>
                <w:rFonts w:hint="default" w:ascii="Calibri" w:hAnsi="Calibri" w:eastAsia="宋体" w:cs="Calibri"/>
                <w:color w:val="000000"/>
                <w:spacing w:val="-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2" w:line="248" w:lineRule="auto"/>
              <w:ind w:left="114" w:leftChars="0" w:right="106" w:rightChars="0"/>
              <w:jc w:val="both"/>
              <w:rPr>
                <w:color w:val="000000"/>
                <w:spacing w:val="-2"/>
              </w:rPr>
            </w:pPr>
            <w:r>
              <w:rPr>
                <w:color w:val="000000"/>
                <w:spacing w:val="7"/>
              </w:rPr>
              <w:t>标段（包）性</w:t>
            </w:r>
            <w:r>
              <w:rPr>
                <w:color w:val="000000"/>
              </w:rPr>
              <w:t xml:space="preserve"> 质</w:t>
            </w:r>
          </w:p>
        </w:tc>
        <w:tc>
          <w:tcPr>
            <w:tcW w:w="3112" w:type="dxa"/>
            <w:gridSpan w:val="3"/>
            <w:noWrap w:val="0"/>
            <w:vAlign w:val="center"/>
          </w:tcPr>
          <w:p>
            <w:pPr>
              <w:pStyle w:val="139"/>
              <w:spacing w:before="208" w:line="220" w:lineRule="auto"/>
              <w:ind w:left="115" w:leftChars="0"/>
              <w:jc w:val="both"/>
              <w:rPr>
                <w:rFonts w:hint="eastAsia" w:ascii="Times New Roman" w:hAnsi="Times New Roman"/>
                <w:b w:val="0"/>
                <w:bCs w:val="0"/>
                <w:color w:val="000000"/>
                <w:kern w:val="2"/>
                <w:sz w:val="21"/>
                <w:szCs w:val="21"/>
                <w:highlight w:val="yellow"/>
                <w:lang w:val="en-US" w:eastAsia="zh-CN"/>
              </w:rPr>
            </w:pPr>
            <w:r>
              <w:rPr>
                <w:rFonts w:hint="eastAsia"/>
                <w:color w:val="000000"/>
                <w:spacing w:val="-1"/>
                <w:lang w:eastAsia="zh-CN"/>
              </w:rPr>
              <w:t>非</w:t>
            </w:r>
            <w:r>
              <w:rPr>
                <w:color w:val="000000"/>
                <w:spacing w:val="-1"/>
              </w:rPr>
              <w:t>依法必须招标的项目</w:t>
            </w:r>
          </w:p>
        </w:tc>
        <w:tc>
          <w:tcPr>
            <w:tcW w:w="1559" w:type="dxa"/>
            <w:gridSpan w:val="4"/>
            <w:noWrap w:val="0"/>
            <w:vAlign w:val="center"/>
          </w:tcPr>
          <w:p>
            <w:pPr>
              <w:pStyle w:val="139"/>
              <w:spacing w:before="208" w:line="221" w:lineRule="auto"/>
              <w:ind w:left="119" w:leftChars="0"/>
              <w:jc w:val="both"/>
              <w:rPr>
                <w:color w:val="000000"/>
                <w:spacing w:val="12"/>
              </w:rPr>
            </w:pPr>
            <w:r>
              <w:rPr>
                <w:color w:val="000000"/>
                <w:spacing w:val="-1"/>
              </w:rPr>
              <w:t>标段(包)内容</w:t>
            </w:r>
          </w:p>
        </w:tc>
        <w:tc>
          <w:tcPr>
            <w:tcW w:w="2646" w:type="dxa"/>
            <w:gridSpan w:val="2"/>
            <w:noWrap w:val="0"/>
            <w:vAlign w:val="center"/>
          </w:tcPr>
          <w:p>
            <w:pPr>
              <w:pStyle w:val="139"/>
              <w:spacing w:before="209" w:line="223" w:lineRule="auto"/>
              <w:ind w:left="118" w:leftChars="0"/>
              <w:jc w:val="both"/>
              <w:rPr>
                <w:rFonts w:ascii="Calibri" w:hAnsi="Calibri" w:eastAsia="Calibri" w:cs="Calibri"/>
                <w:color w:val="000000"/>
                <w:spacing w:val="-4"/>
              </w:rPr>
            </w:pPr>
            <w:r>
              <w:rPr>
                <w:color w:val="000000"/>
                <w:spacing w:val="-2"/>
              </w:rPr>
              <w:t>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08" w:line="221" w:lineRule="auto"/>
              <w:ind w:left="122" w:leftChars="0"/>
              <w:jc w:val="both"/>
              <w:rPr>
                <w:color w:val="000000"/>
                <w:spacing w:val="-2"/>
              </w:rPr>
            </w:pPr>
            <w:r>
              <w:rPr>
                <w:color w:val="000000"/>
                <w:spacing w:val="-4"/>
              </w:rPr>
              <w:t>资质要求</w:t>
            </w:r>
          </w:p>
        </w:tc>
        <w:tc>
          <w:tcPr>
            <w:tcW w:w="7317" w:type="dxa"/>
            <w:gridSpan w:val="9"/>
            <w:noWrap w:val="0"/>
            <w:vAlign w:val="center"/>
          </w:tcPr>
          <w:p>
            <w:pPr>
              <w:pStyle w:val="139"/>
              <w:spacing w:before="53" w:line="247" w:lineRule="auto"/>
              <w:ind w:left="116" w:leftChars="0" w:right="105" w:rightChars="0"/>
              <w:jc w:val="both"/>
              <w:rPr>
                <w:rFonts w:ascii="Calibri" w:hAnsi="Calibri" w:eastAsia="Calibri" w:cs="Calibri"/>
                <w:color w:val="000000"/>
                <w:spacing w:val="-4"/>
              </w:rPr>
            </w:pPr>
            <w:r>
              <w:rPr>
                <w:rFonts w:hint="eastAsia"/>
                <w:szCs w:val="21"/>
              </w:rPr>
              <w:t>具备</w:t>
            </w:r>
            <w:r>
              <w:rPr>
                <w:rFonts w:hint="eastAsia"/>
              </w:rPr>
              <w:t>水利水电工程施工总承包</w:t>
            </w:r>
            <w:r>
              <w:rPr>
                <w:rFonts w:hint="eastAsia"/>
                <w:lang w:eastAsia="zh-CN"/>
              </w:rPr>
              <w:t>叁</w:t>
            </w:r>
            <w:r>
              <w:rPr>
                <w:rFonts w:hint="eastAsia"/>
              </w:rPr>
              <w:t>级资质（含叁级）及以上资质</w:t>
            </w:r>
            <w:r>
              <w:rPr>
                <w:color w:val="000000"/>
                <w:spacing w:val="-2"/>
              </w:rPr>
              <w:t>，并在人员、设备、资金等方面</w:t>
            </w:r>
            <w:r>
              <w:rPr>
                <w:color w:val="000000"/>
                <w:spacing w:val="17"/>
              </w:rPr>
              <w:t xml:space="preserve"> </w:t>
            </w:r>
            <w:r>
              <w:rPr>
                <w:color w:val="000000"/>
                <w:spacing w:val="-1"/>
              </w:rPr>
              <w:t>具有相应的施工能力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53" w:line="221" w:lineRule="auto"/>
              <w:ind w:left="114" w:leftChars="0"/>
              <w:jc w:val="both"/>
              <w:rPr>
                <w:color w:val="000000"/>
                <w:spacing w:val="-2"/>
              </w:rPr>
            </w:pPr>
            <w:r>
              <w:rPr>
                <w:color w:val="000000"/>
                <w:spacing w:val="-2"/>
              </w:rPr>
              <w:t>质量要求</w:t>
            </w:r>
          </w:p>
        </w:tc>
        <w:tc>
          <w:tcPr>
            <w:tcW w:w="7317" w:type="dxa"/>
            <w:gridSpan w:val="9"/>
            <w:noWrap w:val="0"/>
            <w:vAlign w:val="center"/>
          </w:tcPr>
          <w:p>
            <w:pPr>
              <w:pStyle w:val="139"/>
              <w:spacing w:before="52" w:line="221" w:lineRule="auto"/>
              <w:ind w:left="112" w:leftChars="0"/>
              <w:jc w:val="both"/>
              <w:rPr>
                <w:rFonts w:ascii="Calibri" w:hAnsi="Calibri" w:eastAsia="Calibri" w:cs="Calibri"/>
                <w:color w:val="000000"/>
                <w:spacing w:val="-4"/>
              </w:rPr>
            </w:pPr>
            <w:r>
              <w:rPr>
                <w:rFonts w:hint="eastAsia"/>
                <w:color w:val="000000"/>
                <w:spacing w:val="-2"/>
                <w:highlight w:val="none"/>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68" w:line="221" w:lineRule="auto"/>
              <w:ind w:firstLine="206" w:firstLineChars="100"/>
              <w:jc w:val="both"/>
              <w:rPr>
                <w:color w:val="000000"/>
                <w:spacing w:val="-2"/>
              </w:rPr>
            </w:pPr>
            <w:r>
              <w:rPr>
                <w:color w:val="000000"/>
                <w:spacing w:val="-2"/>
              </w:rPr>
              <w:t>招标范围</w:t>
            </w:r>
          </w:p>
        </w:tc>
        <w:tc>
          <w:tcPr>
            <w:tcW w:w="7317" w:type="dxa"/>
            <w:gridSpan w:val="9"/>
            <w:noWrap w:val="0"/>
            <w:vAlign w:val="center"/>
          </w:tcPr>
          <w:p>
            <w:pPr>
              <w:pStyle w:val="139"/>
              <w:spacing w:before="61" w:line="221" w:lineRule="auto"/>
              <w:ind w:left="114" w:leftChars="0"/>
              <w:jc w:val="both"/>
              <w:rPr>
                <w:rFonts w:ascii="Calibri" w:hAnsi="Calibri" w:eastAsia="Calibri" w:cs="Calibri"/>
                <w:color w:val="000000"/>
                <w:spacing w:val="-4"/>
              </w:rPr>
            </w:pPr>
            <w:r>
              <w:rPr>
                <w:rFonts w:hint="eastAsia"/>
                <w:szCs w:val="21"/>
                <w:highlight w:val="none"/>
              </w:rPr>
              <w:t>大石桥市官屯镇</w:t>
            </w:r>
            <w:r>
              <w:rPr>
                <w:rFonts w:hint="eastAsia"/>
                <w:szCs w:val="21"/>
                <w:highlight w:val="none"/>
                <w:lang w:eastAsia="zh-CN"/>
              </w:rPr>
              <w:t>石硼峪</w:t>
            </w:r>
            <w:r>
              <w:rPr>
                <w:rFonts w:hint="eastAsia"/>
                <w:szCs w:val="21"/>
                <w:highlight w:val="none"/>
              </w:rPr>
              <w:t>村</w:t>
            </w:r>
            <w:r>
              <w:rPr>
                <w:rFonts w:hint="eastAsia"/>
                <w:szCs w:val="21"/>
                <w:highlight w:val="none"/>
                <w:lang w:eastAsia="zh-CN"/>
              </w:rPr>
              <w:t>、何屯村</w:t>
            </w:r>
            <w:r>
              <w:rPr>
                <w:rFonts w:hint="eastAsia"/>
                <w:szCs w:val="21"/>
                <w:highlight w:val="none"/>
              </w:rPr>
              <w:t>，</w:t>
            </w:r>
            <w:r>
              <w:rPr>
                <w:rFonts w:hint="eastAsia"/>
                <w:szCs w:val="21"/>
                <w:highlight w:val="none"/>
                <w:lang w:eastAsia="zh-CN"/>
              </w:rPr>
              <w:t>黄土岭</w:t>
            </w:r>
            <w:r>
              <w:rPr>
                <w:rFonts w:hint="eastAsia"/>
                <w:szCs w:val="21"/>
                <w:highlight w:val="none"/>
              </w:rPr>
              <w:t>镇</w:t>
            </w:r>
            <w:r>
              <w:rPr>
                <w:rFonts w:hint="eastAsia"/>
                <w:szCs w:val="21"/>
                <w:highlight w:val="none"/>
                <w:lang w:eastAsia="zh-CN"/>
              </w:rPr>
              <w:t>黄土岭</w:t>
            </w:r>
            <w:r>
              <w:rPr>
                <w:rFonts w:hint="eastAsia"/>
                <w:szCs w:val="21"/>
                <w:highlight w:val="none"/>
              </w:rPr>
              <w:t>村，汤池镇</w:t>
            </w:r>
            <w:r>
              <w:rPr>
                <w:rFonts w:hint="eastAsia"/>
                <w:szCs w:val="21"/>
                <w:highlight w:val="none"/>
                <w:lang w:eastAsia="zh-CN"/>
              </w:rPr>
              <w:t>高士沟</w:t>
            </w:r>
            <w:r>
              <w:rPr>
                <w:rFonts w:hint="eastAsia"/>
                <w:szCs w:val="21"/>
                <w:highlight w:val="none"/>
              </w:rPr>
              <w:t>村</w:t>
            </w:r>
            <w:r>
              <w:rPr>
                <w:rFonts w:hint="eastAsia"/>
                <w:szCs w:val="21"/>
                <w:highlight w:val="none"/>
                <w:lang w:eastAsia="zh-CN"/>
              </w:rPr>
              <w:t>，周家镇大沟村、车家村</w:t>
            </w:r>
            <w:r>
              <w:rPr>
                <w:rFonts w:hint="eastAsia"/>
                <w:szCs w:val="21"/>
                <w:highlight w:val="none"/>
                <w:lang w:val="en-US" w:eastAsia="zh-CN"/>
              </w:rPr>
              <w:t>4</w:t>
            </w:r>
            <w:r>
              <w:rPr>
                <w:rFonts w:hint="eastAsia"/>
                <w:szCs w:val="21"/>
                <w:highlight w:val="none"/>
              </w:rPr>
              <w:t>个镇，</w:t>
            </w:r>
            <w:r>
              <w:rPr>
                <w:rFonts w:hint="eastAsia"/>
                <w:szCs w:val="21"/>
                <w:highlight w:val="none"/>
                <w:lang w:val="en-US" w:eastAsia="zh-CN"/>
              </w:rPr>
              <w:t>6</w:t>
            </w:r>
            <w:r>
              <w:rPr>
                <w:rFonts w:hint="eastAsia"/>
                <w:szCs w:val="21"/>
                <w:highlight w:val="none"/>
              </w:rPr>
              <w:t>个行政村共修浆砌石挡墙护坡</w:t>
            </w:r>
            <w:r>
              <w:rPr>
                <w:rFonts w:hint="eastAsia"/>
                <w:szCs w:val="21"/>
                <w:highlight w:val="none"/>
                <w:lang w:val="en-US" w:eastAsia="zh-CN"/>
              </w:rPr>
              <w:t>2495</w:t>
            </w:r>
            <w:r>
              <w:rPr>
                <w:rFonts w:hint="eastAsia"/>
                <w:szCs w:val="21"/>
                <w:highlight w:val="none"/>
              </w:rPr>
              <w:t>m，新修截潜坝一座</w:t>
            </w:r>
            <w:r>
              <w:rPr>
                <w:rFonts w:hint="eastAsia"/>
                <w:szCs w:val="21"/>
                <w:highlight w:val="none"/>
                <w:lang w:eastAsia="zh-CN"/>
              </w:rPr>
              <w:t>，浆砌石路边沟425m，∮600过路涵11座</w:t>
            </w:r>
            <w:r>
              <w:rPr>
                <w:rFonts w:hint="eastAsia"/>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2" w:line="221" w:lineRule="auto"/>
              <w:ind w:left="116" w:leftChars="0"/>
              <w:jc w:val="both"/>
              <w:rPr>
                <w:color w:val="000000"/>
                <w:spacing w:val="-2"/>
              </w:rPr>
            </w:pPr>
            <w:r>
              <w:rPr>
                <w:color w:val="000000"/>
                <w:spacing w:val="-2"/>
              </w:rPr>
              <w:t>投标保证金</w:t>
            </w:r>
          </w:p>
        </w:tc>
        <w:tc>
          <w:tcPr>
            <w:tcW w:w="3112" w:type="dxa"/>
            <w:gridSpan w:val="3"/>
            <w:noWrap w:val="0"/>
            <w:vAlign w:val="center"/>
          </w:tcPr>
          <w:p>
            <w:pPr>
              <w:pStyle w:val="139"/>
              <w:spacing w:before="212" w:line="221" w:lineRule="auto"/>
              <w:ind w:left="127" w:leftChars="0"/>
              <w:jc w:val="both"/>
              <w:rPr>
                <w:rFonts w:hint="eastAsia" w:ascii="Times New Roman" w:hAnsi="Times New Roman"/>
                <w:b w:val="0"/>
                <w:bCs w:val="0"/>
                <w:color w:val="000000"/>
                <w:kern w:val="2"/>
                <w:sz w:val="21"/>
                <w:szCs w:val="21"/>
                <w:highlight w:val="none"/>
                <w:lang w:val="en-US" w:eastAsia="zh-CN"/>
              </w:rPr>
            </w:pPr>
            <w:r>
              <w:rPr>
                <w:rFonts w:hint="eastAsia"/>
                <w:color w:val="000000"/>
                <w:spacing w:val="-10"/>
                <w:highlight w:val="none"/>
                <w:lang w:val="en-US" w:eastAsia="zh-CN"/>
              </w:rPr>
              <w:t xml:space="preserve">  </w:t>
            </w:r>
            <w:r>
              <w:rPr>
                <w:color w:val="000000"/>
                <w:spacing w:val="-10"/>
                <w:highlight w:val="none"/>
              </w:rPr>
              <w:t>万元</w:t>
            </w:r>
          </w:p>
        </w:tc>
        <w:tc>
          <w:tcPr>
            <w:tcW w:w="1559" w:type="dxa"/>
            <w:gridSpan w:val="4"/>
            <w:noWrap w:val="0"/>
            <w:vAlign w:val="center"/>
          </w:tcPr>
          <w:p>
            <w:pPr>
              <w:pStyle w:val="139"/>
              <w:spacing w:before="56" w:line="248" w:lineRule="auto"/>
              <w:ind w:left="122" w:leftChars="0" w:right="97" w:rightChars="0" w:hanging="3" w:firstLineChars="0"/>
              <w:jc w:val="both"/>
              <w:rPr>
                <w:color w:val="000000"/>
                <w:spacing w:val="12"/>
                <w:highlight w:val="none"/>
              </w:rPr>
            </w:pPr>
            <w:r>
              <w:rPr>
                <w:color w:val="000000"/>
                <w:spacing w:val="23"/>
                <w:highlight w:val="none"/>
              </w:rPr>
              <w:t>保证金缴纳方</w:t>
            </w:r>
            <w:r>
              <w:rPr>
                <w:color w:val="000000"/>
                <w:spacing w:val="3"/>
                <w:highlight w:val="none"/>
              </w:rPr>
              <w:t xml:space="preserve"> </w:t>
            </w:r>
            <w:r>
              <w:rPr>
                <w:color w:val="000000"/>
                <w:highlight w:val="none"/>
              </w:rPr>
              <w:t>式</w:t>
            </w:r>
          </w:p>
        </w:tc>
        <w:tc>
          <w:tcPr>
            <w:tcW w:w="2646" w:type="dxa"/>
            <w:gridSpan w:val="2"/>
            <w:noWrap w:val="0"/>
            <w:vAlign w:val="center"/>
          </w:tcPr>
          <w:p>
            <w:pPr>
              <w:pStyle w:val="139"/>
              <w:spacing w:before="56" w:line="247" w:lineRule="auto"/>
              <w:ind w:left="120" w:leftChars="0" w:right="139" w:rightChars="0"/>
              <w:jc w:val="both"/>
              <w:rPr>
                <w:rFonts w:ascii="Calibri" w:hAnsi="Calibri" w:eastAsia="Calibri" w:cs="Calibri"/>
                <w:color w:val="000000"/>
                <w:spacing w:val="-4"/>
              </w:rPr>
            </w:pPr>
            <w:r>
              <w:rPr>
                <w:color w:val="auto"/>
              </w:rPr>
              <w:t>保函、电汇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4" w:line="248" w:lineRule="auto"/>
              <w:ind w:left="115" w:leftChars="0" w:right="107" w:rightChars="0" w:hanging="2" w:firstLineChars="0"/>
              <w:jc w:val="both"/>
              <w:rPr>
                <w:color w:val="000000"/>
                <w:spacing w:val="-2"/>
              </w:rPr>
            </w:pPr>
            <w:r>
              <w:rPr>
                <w:color w:val="000000"/>
                <w:spacing w:val="6"/>
              </w:rPr>
              <w:t>供货/服务/施</w:t>
            </w:r>
            <w:r>
              <w:rPr>
                <w:color w:val="000000"/>
              </w:rPr>
              <w:t xml:space="preserve"> </w:t>
            </w:r>
            <w:r>
              <w:rPr>
                <w:color w:val="000000"/>
                <w:spacing w:val="-2"/>
              </w:rPr>
              <w:t>工开始时间</w:t>
            </w:r>
          </w:p>
        </w:tc>
        <w:tc>
          <w:tcPr>
            <w:tcW w:w="3112" w:type="dxa"/>
            <w:gridSpan w:val="3"/>
            <w:noWrap w:val="0"/>
            <w:vAlign w:val="center"/>
          </w:tcPr>
          <w:p>
            <w:pPr>
              <w:pStyle w:val="139"/>
              <w:spacing w:before="244" w:line="183" w:lineRule="auto"/>
              <w:ind w:left="114" w:leftChars="0"/>
              <w:jc w:val="both"/>
              <w:rPr>
                <w:rFonts w:hint="default" w:ascii="Times New Roman" w:hAnsi="Times New Roman"/>
                <w:b w:val="0"/>
                <w:bCs w:val="0"/>
                <w:color w:val="000000"/>
                <w:kern w:val="2"/>
                <w:sz w:val="21"/>
                <w:szCs w:val="21"/>
                <w:highlight w:val="none"/>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c>
          <w:tcPr>
            <w:tcW w:w="1559" w:type="dxa"/>
            <w:gridSpan w:val="4"/>
            <w:noWrap w:val="0"/>
            <w:vAlign w:val="center"/>
          </w:tcPr>
          <w:p>
            <w:pPr>
              <w:pStyle w:val="139"/>
              <w:spacing w:before="53" w:line="248" w:lineRule="auto"/>
              <w:ind w:left="120" w:leftChars="0" w:right="97" w:rightChars="0" w:hanging="2" w:firstLineChars="0"/>
              <w:jc w:val="both"/>
              <w:rPr>
                <w:color w:val="000000"/>
                <w:spacing w:val="12"/>
                <w:highlight w:val="none"/>
              </w:rPr>
            </w:pPr>
            <w:r>
              <w:rPr>
                <w:color w:val="000000"/>
                <w:spacing w:val="20"/>
                <w:highlight w:val="none"/>
              </w:rPr>
              <w:t>供货/服务/施</w:t>
            </w:r>
            <w:r>
              <w:rPr>
                <w:color w:val="000000"/>
                <w:spacing w:val="2"/>
                <w:highlight w:val="none"/>
              </w:rPr>
              <w:t xml:space="preserve"> </w:t>
            </w:r>
            <w:r>
              <w:rPr>
                <w:color w:val="000000"/>
                <w:spacing w:val="-2"/>
                <w:highlight w:val="none"/>
              </w:rPr>
              <w:t>工结束时间</w:t>
            </w:r>
          </w:p>
        </w:tc>
        <w:tc>
          <w:tcPr>
            <w:tcW w:w="2646" w:type="dxa"/>
            <w:gridSpan w:val="2"/>
            <w:noWrap w:val="0"/>
            <w:vAlign w:val="center"/>
          </w:tcPr>
          <w:p>
            <w:pPr>
              <w:pStyle w:val="139"/>
              <w:spacing w:before="244" w:line="183" w:lineRule="auto"/>
              <w:ind w:left="121" w:leftChars="0"/>
              <w:jc w:val="both"/>
              <w:rPr>
                <w:rFonts w:hint="default" w:ascii="Calibri" w:hAnsi="Calibri" w:eastAsia="宋体" w:cs="Calibri"/>
                <w:color w:val="000000"/>
                <w:spacing w:val="-4"/>
                <w:lang w:val="en-US" w:eastAsia="zh-CN"/>
              </w:rPr>
            </w:pPr>
            <w:r>
              <w:rPr>
                <w:color w:val="000000"/>
                <w:highlight w:val="none"/>
              </w:rPr>
              <w:t>202</w:t>
            </w:r>
            <w:r>
              <w:rPr>
                <w:rFonts w:hint="eastAsia"/>
                <w:color w:val="000000"/>
                <w:highlight w:val="none"/>
                <w:lang w:val="en-US" w:eastAsia="zh-CN"/>
              </w:rPr>
              <w:t>4</w:t>
            </w:r>
            <w:r>
              <w:rPr>
                <w:rFonts w:hint="eastAsia"/>
                <w:color w:val="000000"/>
                <w:highlight w:val="none"/>
                <w:lang w:eastAsia="zh-CN"/>
              </w:rPr>
              <w:t>年</w:t>
            </w:r>
            <w:r>
              <w:rPr>
                <w:rFonts w:hint="eastAsia"/>
                <w:color w:val="000000"/>
                <w:highlight w:val="none"/>
                <w:lang w:val="en-US" w:eastAsia="zh-CN"/>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3" w:line="248" w:lineRule="auto"/>
              <w:ind w:left="114" w:leftChars="0" w:right="106" w:rightChars="0"/>
              <w:jc w:val="both"/>
              <w:rPr>
                <w:color w:val="000000"/>
                <w:spacing w:val="-2"/>
              </w:rPr>
            </w:pPr>
            <w:r>
              <w:rPr>
                <w:color w:val="000000"/>
                <w:spacing w:val="7"/>
              </w:rPr>
              <w:t>标段（包）开</w:t>
            </w:r>
            <w:r>
              <w:rPr>
                <w:color w:val="000000"/>
              </w:rPr>
              <w:t xml:space="preserve"> </w:t>
            </w:r>
            <w:r>
              <w:rPr>
                <w:color w:val="000000"/>
                <w:spacing w:val="-2"/>
              </w:rPr>
              <w:t>标地点</w:t>
            </w:r>
          </w:p>
        </w:tc>
        <w:tc>
          <w:tcPr>
            <w:tcW w:w="7317" w:type="dxa"/>
            <w:gridSpan w:val="9"/>
            <w:noWrap w:val="0"/>
            <w:vAlign w:val="center"/>
          </w:tcPr>
          <w:p>
            <w:pPr>
              <w:adjustRightInd w:val="0"/>
              <w:snapToGrid w:val="0"/>
              <w:spacing w:line="460" w:lineRule="exact"/>
              <w:jc w:val="both"/>
              <w:rPr>
                <w:rFonts w:ascii="Calibri" w:hAnsi="Calibri" w:eastAsia="Calibri" w:cs="Calibri"/>
                <w:color w:val="000000"/>
                <w:spacing w:val="-4"/>
              </w:rPr>
            </w:pPr>
            <w:r>
              <w:rPr>
                <w:rFonts w:ascii="Helvetica" w:hAnsi="Helvetica"/>
                <w:color w:val="000000"/>
                <w:shd w:val="clear" w:color="auto" w:fill="FFFFFF"/>
              </w:rPr>
              <w:t>大石桥市审批技术审查与公共资源交易中心(营口大石桥市二高街2号)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5" w:line="247" w:lineRule="auto"/>
              <w:ind w:left="113" w:leftChars="0" w:right="106" w:rightChars="0" w:firstLine="3" w:firstLineChars="0"/>
              <w:jc w:val="both"/>
              <w:rPr>
                <w:color w:val="000000"/>
                <w:spacing w:val="-2"/>
              </w:rPr>
            </w:pPr>
            <w:r>
              <w:rPr>
                <w:color w:val="000000"/>
                <w:spacing w:val="6"/>
              </w:rPr>
              <w:t>项目负责人资</w:t>
            </w:r>
            <w:r>
              <w:rPr>
                <w:color w:val="000000"/>
                <w:spacing w:val="2"/>
              </w:rPr>
              <w:t xml:space="preserve"> </w:t>
            </w:r>
            <w:r>
              <w:rPr>
                <w:color w:val="000000"/>
                <w:spacing w:val="-2"/>
              </w:rPr>
              <w:t>格条件</w:t>
            </w:r>
          </w:p>
        </w:tc>
        <w:tc>
          <w:tcPr>
            <w:tcW w:w="7317" w:type="dxa"/>
            <w:gridSpan w:val="9"/>
            <w:noWrap w:val="0"/>
            <w:vAlign w:val="center"/>
          </w:tcPr>
          <w:p>
            <w:pPr>
              <w:pStyle w:val="139"/>
              <w:spacing w:before="54" w:line="247" w:lineRule="auto"/>
              <w:ind w:left="116" w:leftChars="0" w:right="105" w:rightChars="0" w:hanging="1" w:firstLineChars="0"/>
              <w:jc w:val="both"/>
              <w:rPr>
                <w:rFonts w:ascii="Calibri" w:hAnsi="Calibri" w:eastAsia="Calibri" w:cs="Calibri"/>
                <w:color w:val="000000"/>
                <w:spacing w:val="-4"/>
                <w:highlight w:val="none"/>
              </w:rPr>
            </w:pPr>
            <w:r>
              <w:rPr>
                <w:color w:val="000000"/>
                <w:spacing w:val="-5"/>
                <w:highlight w:val="none"/>
              </w:rPr>
              <w:t>项目经理资格：</w:t>
            </w:r>
            <w:r>
              <w:rPr>
                <w:color w:val="000000"/>
                <w:spacing w:val="-37"/>
                <w:highlight w:val="none"/>
              </w:rPr>
              <w:t xml:space="preserve"> </w:t>
            </w:r>
            <w:r>
              <w:rPr>
                <w:rFonts w:hint="eastAsia"/>
                <w:highlight w:val="none"/>
              </w:rPr>
              <w:t>注册建造师（</w:t>
            </w:r>
            <w:r>
              <w:rPr>
                <w:rFonts w:hint="eastAsia"/>
                <w:highlight w:val="none"/>
                <w:lang w:eastAsia="zh-CN"/>
              </w:rPr>
              <w:t>水利水电</w:t>
            </w:r>
            <w:r>
              <w:rPr>
                <w:rFonts w:hint="eastAsia"/>
                <w:highlight w:val="none"/>
              </w:rPr>
              <w:t>工程）二级及以上</w:t>
            </w:r>
            <w:r>
              <w:rPr>
                <w:color w:val="000000"/>
                <w:spacing w:val="-5"/>
                <w:highlight w:val="none"/>
              </w:rPr>
              <w:t>资格并</w:t>
            </w:r>
            <w:r>
              <w:rPr>
                <w:color w:val="000000"/>
                <w:spacing w:val="-6"/>
                <w:highlight w:val="none"/>
              </w:rPr>
              <w:t>在投标单位有</w:t>
            </w:r>
            <w:r>
              <w:rPr>
                <w:color w:val="000000"/>
                <w:spacing w:val="-1"/>
                <w:highlight w:val="none"/>
              </w:rPr>
              <w:t>效注册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1" w:line="219" w:lineRule="auto"/>
              <w:ind w:left="114" w:leftChars="0"/>
              <w:jc w:val="both"/>
              <w:rPr>
                <w:color w:val="000000"/>
                <w:spacing w:val="-2"/>
              </w:rPr>
            </w:pPr>
            <w:r>
              <w:rPr>
                <w:color w:val="000000"/>
                <w:spacing w:val="-2"/>
              </w:rPr>
              <w:t>合同估算价</w:t>
            </w:r>
          </w:p>
        </w:tc>
        <w:tc>
          <w:tcPr>
            <w:tcW w:w="3112" w:type="dxa"/>
            <w:gridSpan w:val="3"/>
            <w:noWrap w:val="0"/>
            <w:vAlign w:val="center"/>
          </w:tcPr>
          <w:p>
            <w:pPr>
              <w:pStyle w:val="139"/>
              <w:spacing w:before="211" w:line="221" w:lineRule="auto"/>
              <w:ind w:left="121" w:leftChars="0" w:firstLine="210" w:firstLineChars="100"/>
              <w:jc w:val="both"/>
              <w:rPr>
                <w:rFonts w:hint="eastAsia" w:ascii="Times New Roman" w:hAnsi="Times New Roman"/>
                <w:b w:val="0"/>
                <w:bCs w:val="0"/>
                <w:color w:val="000000"/>
                <w:kern w:val="2"/>
                <w:sz w:val="21"/>
                <w:szCs w:val="21"/>
                <w:highlight w:val="none"/>
                <w:lang w:val="en-US" w:eastAsia="zh-CN"/>
              </w:rPr>
            </w:pPr>
            <w:r>
              <w:rPr>
                <w:rFonts w:hint="eastAsia" w:ascii="Times New Roman" w:hAnsi="Times New Roman" w:eastAsia="宋体"/>
                <w:b w:val="0"/>
                <w:bCs w:val="0"/>
                <w:color w:val="000000"/>
                <w:kern w:val="2"/>
                <w:sz w:val="21"/>
                <w:szCs w:val="21"/>
                <w:highlight w:val="none"/>
              </w:rPr>
              <w:t>万元</w:t>
            </w:r>
          </w:p>
        </w:tc>
        <w:tc>
          <w:tcPr>
            <w:tcW w:w="1496" w:type="dxa"/>
            <w:gridSpan w:val="2"/>
            <w:noWrap w:val="0"/>
            <w:vAlign w:val="center"/>
          </w:tcPr>
          <w:p>
            <w:pPr>
              <w:pStyle w:val="139"/>
              <w:spacing w:before="56" w:line="247" w:lineRule="auto"/>
              <w:ind w:left="66" w:leftChars="0" w:right="151" w:rightChars="0"/>
              <w:jc w:val="both"/>
              <w:rPr>
                <w:color w:val="000000"/>
                <w:spacing w:val="12"/>
                <w:highlight w:val="none"/>
              </w:rPr>
            </w:pPr>
            <w:r>
              <w:rPr>
                <w:color w:val="000000"/>
                <w:spacing w:val="12"/>
                <w:highlight w:val="none"/>
              </w:rPr>
              <w:t>招标文件售价</w:t>
            </w:r>
            <w:r>
              <w:rPr>
                <w:color w:val="000000"/>
                <w:spacing w:val="3"/>
                <w:highlight w:val="none"/>
              </w:rPr>
              <w:t xml:space="preserve"> </w:t>
            </w:r>
            <w:r>
              <w:rPr>
                <w:color w:val="000000"/>
                <w:spacing w:val="-2"/>
                <w:highlight w:val="none"/>
              </w:rPr>
              <w:t>金额</w:t>
            </w:r>
          </w:p>
        </w:tc>
        <w:tc>
          <w:tcPr>
            <w:tcW w:w="2709" w:type="dxa"/>
            <w:gridSpan w:val="4"/>
            <w:noWrap w:val="0"/>
            <w:vAlign w:val="center"/>
          </w:tcPr>
          <w:p>
            <w:pPr>
              <w:pStyle w:val="139"/>
              <w:spacing w:before="211" w:line="221" w:lineRule="auto"/>
              <w:ind w:left="65" w:leftChars="0"/>
              <w:jc w:val="both"/>
              <w:rPr>
                <w:rFonts w:ascii="Calibri" w:hAnsi="Calibri" w:eastAsia="Calibri" w:cs="Calibri"/>
                <w:color w:val="000000"/>
                <w:spacing w:val="-4"/>
              </w:rPr>
            </w:pPr>
            <w:r>
              <w:rPr>
                <w:rFonts w:ascii="Calibri" w:hAnsi="Calibri" w:eastAsia="Calibri" w:cs="Calibri"/>
                <w:color w:val="000000"/>
                <w:spacing w:val="-4"/>
              </w:rPr>
              <w:t>0</w:t>
            </w:r>
            <w:r>
              <w:rPr>
                <w:rFonts w:ascii="Calibri" w:hAnsi="Calibri" w:eastAsia="Calibri" w:cs="Calibri"/>
                <w:color w:val="000000"/>
                <w:spacing w:val="10"/>
              </w:rPr>
              <w:t xml:space="preserve">  </w:t>
            </w:r>
            <w:r>
              <w:rPr>
                <w:color w:val="000000"/>
                <w:spacing w:val="-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28" w:type="dxa"/>
            <w:noWrap w:val="0"/>
            <w:vAlign w:val="center"/>
          </w:tcPr>
          <w:p>
            <w:pPr>
              <w:pStyle w:val="139"/>
              <w:spacing w:before="55" w:line="248" w:lineRule="auto"/>
              <w:ind w:left="113" w:right="106" w:firstLine="3"/>
              <w:jc w:val="both"/>
              <w:rPr>
                <w:color w:val="000000"/>
              </w:rPr>
            </w:pPr>
            <w:r>
              <w:rPr>
                <w:color w:val="000000"/>
                <w:spacing w:val="6"/>
              </w:rPr>
              <w:t>是否接受联合</w:t>
            </w:r>
            <w:r>
              <w:rPr>
                <w:color w:val="000000"/>
                <w:spacing w:val="2"/>
              </w:rPr>
              <w:t xml:space="preserve"> </w:t>
            </w:r>
            <w:r>
              <w:rPr>
                <w:color w:val="000000"/>
                <w:spacing w:val="-2"/>
              </w:rPr>
              <w:t>体投标</w:t>
            </w:r>
          </w:p>
        </w:tc>
        <w:tc>
          <w:tcPr>
            <w:tcW w:w="7317" w:type="dxa"/>
            <w:gridSpan w:val="9"/>
            <w:noWrap w:val="0"/>
            <w:vAlign w:val="center"/>
          </w:tcPr>
          <w:p>
            <w:pPr>
              <w:pStyle w:val="139"/>
              <w:spacing w:before="212" w:line="221" w:lineRule="auto"/>
              <w:ind w:left="115"/>
              <w:jc w:val="both"/>
              <w:rPr>
                <w:color w:val="000000"/>
              </w:rPr>
            </w:pPr>
            <w:r>
              <w:rPr>
                <w:color w:val="000000"/>
                <w:spacing w:val="-1"/>
              </w:rPr>
              <w:t>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28" w:type="dxa"/>
            <w:noWrap w:val="0"/>
            <w:vAlign w:val="center"/>
          </w:tcPr>
          <w:p>
            <w:pPr>
              <w:pStyle w:val="139"/>
              <w:spacing w:before="55" w:line="221" w:lineRule="auto"/>
              <w:ind w:left="117"/>
              <w:jc w:val="both"/>
              <w:rPr>
                <w:color w:val="000000"/>
              </w:rPr>
            </w:pPr>
            <w:r>
              <w:rPr>
                <w:color w:val="000000"/>
                <w:spacing w:val="-3"/>
              </w:rPr>
              <w:t>是否兼投</w:t>
            </w:r>
          </w:p>
        </w:tc>
        <w:tc>
          <w:tcPr>
            <w:tcW w:w="3018" w:type="dxa"/>
            <w:noWrap w:val="0"/>
            <w:vAlign w:val="center"/>
          </w:tcPr>
          <w:p>
            <w:pPr>
              <w:pStyle w:val="139"/>
              <w:spacing w:before="56" w:line="221" w:lineRule="auto"/>
              <w:ind w:left="118"/>
              <w:jc w:val="both"/>
              <w:rPr>
                <w:rFonts w:hint="eastAsia" w:eastAsia="宋体"/>
                <w:color w:val="000000"/>
                <w:lang w:val="en-US" w:eastAsia="zh-CN"/>
              </w:rPr>
            </w:pPr>
            <w:r>
              <w:rPr>
                <w:rFonts w:hint="eastAsia"/>
                <w:color w:val="000000"/>
                <w:lang w:val="en-US" w:eastAsia="zh-CN"/>
              </w:rPr>
              <w:t>是</w:t>
            </w:r>
          </w:p>
        </w:tc>
        <w:tc>
          <w:tcPr>
            <w:tcW w:w="1277" w:type="dxa"/>
            <w:gridSpan w:val="3"/>
            <w:noWrap w:val="0"/>
            <w:vAlign w:val="center"/>
          </w:tcPr>
          <w:p>
            <w:pPr>
              <w:pStyle w:val="139"/>
              <w:spacing w:before="55" w:line="221" w:lineRule="auto"/>
              <w:ind w:left="117"/>
              <w:jc w:val="both"/>
              <w:rPr>
                <w:color w:val="000000"/>
              </w:rPr>
            </w:pPr>
            <w:r>
              <w:rPr>
                <w:color w:val="000000"/>
                <w:spacing w:val="-3"/>
              </w:rPr>
              <w:t>是否兼中</w:t>
            </w:r>
          </w:p>
        </w:tc>
        <w:tc>
          <w:tcPr>
            <w:tcW w:w="3022" w:type="dxa"/>
            <w:gridSpan w:val="5"/>
            <w:noWrap w:val="0"/>
            <w:vAlign w:val="center"/>
          </w:tcPr>
          <w:p>
            <w:pPr>
              <w:pStyle w:val="139"/>
              <w:spacing w:before="56" w:line="221" w:lineRule="auto"/>
              <w:ind w:left="123"/>
              <w:jc w:val="both"/>
              <w:rPr>
                <w:color w:val="000000"/>
              </w:rPr>
            </w:pPr>
            <w:r>
              <w:rPr>
                <w:color w:val="00000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8" w:type="dxa"/>
            <w:noWrap w:val="0"/>
            <w:vAlign w:val="center"/>
          </w:tcPr>
          <w:p>
            <w:pPr>
              <w:pStyle w:val="139"/>
              <w:spacing w:before="50" w:line="249" w:lineRule="auto"/>
              <w:ind w:left="123" w:right="106" w:hanging="9"/>
              <w:jc w:val="both"/>
              <w:rPr>
                <w:color w:val="000000"/>
              </w:rPr>
            </w:pPr>
            <w:r>
              <w:rPr>
                <w:color w:val="000000"/>
                <w:spacing w:val="7"/>
              </w:rPr>
              <w:t>招标文件获取</w:t>
            </w:r>
            <w:r>
              <w:rPr>
                <w:color w:val="000000"/>
              </w:rPr>
              <w:t xml:space="preserve"> </w:t>
            </w:r>
            <w:r>
              <w:rPr>
                <w:color w:val="000000"/>
                <w:spacing w:val="-4"/>
              </w:rPr>
              <w:t>时间</w:t>
            </w:r>
          </w:p>
        </w:tc>
        <w:tc>
          <w:tcPr>
            <w:tcW w:w="3018" w:type="dxa"/>
            <w:noWrap w:val="0"/>
            <w:vAlign w:val="center"/>
          </w:tcPr>
          <w:p>
            <w:pPr>
              <w:pStyle w:val="63"/>
              <w:keepNext w:val="0"/>
              <w:keepLines w:val="0"/>
              <w:pageBreakBefore w:val="0"/>
              <w:widowControl/>
              <w:kinsoku/>
              <w:wordWrap w:val="0"/>
              <w:overflowPunct/>
              <w:topLinePunct w:val="0"/>
              <w:autoSpaceDE/>
              <w:autoSpaceDN/>
              <w:bidi w:val="0"/>
              <w:spacing w:line="340" w:lineRule="exact"/>
              <w:jc w:val="both"/>
              <w:textAlignment w:val="auto"/>
              <w:rPr>
                <w:rFonts w:ascii="Times New Roman" w:hAnsi="Times New Roman" w:eastAsia="宋体"/>
                <w:b w:val="0"/>
                <w:bCs w:val="0"/>
                <w:color w:val="000000"/>
                <w:kern w:val="2"/>
                <w:sz w:val="21"/>
                <w:szCs w:val="21"/>
                <w:highlight w:val="none"/>
              </w:rPr>
            </w:pPr>
            <w:r>
              <w:rPr>
                <w:rFonts w:hint="eastAsia" w:ascii="Times New Roman" w:hAnsi="Times New Roman"/>
                <w:b w:val="0"/>
                <w:bCs w:val="0"/>
                <w:color w:val="000000"/>
                <w:kern w:val="2"/>
                <w:sz w:val="21"/>
                <w:szCs w:val="21"/>
                <w:highlight w:val="none"/>
                <w:lang w:eastAsia="zh-CN"/>
              </w:rPr>
              <w:t>2024</w:t>
            </w:r>
            <w:r>
              <w:rPr>
                <w:rFonts w:hint="eastAsia" w:ascii="Times New Roman" w:hAnsi="Times New Roman" w:eastAsia="宋体"/>
                <w:b w:val="0"/>
                <w:bCs w:val="0"/>
                <w:color w:val="000000"/>
                <w:kern w:val="2"/>
                <w:sz w:val="21"/>
                <w:szCs w:val="21"/>
                <w:highlight w:val="none"/>
                <w:lang w:eastAsia="zh-CN"/>
              </w:rPr>
              <w:t>年</w:t>
            </w:r>
            <w:r>
              <w:rPr>
                <w:rFonts w:hint="eastAsia" w:ascii="Times New Roman" w:hAnsi="Times New Roman" w:eastAsia="宋体"/>
                <w:b w:val="0"/>
                <w:bCs w:val="0"/>
                <w:color w:val="000000"/>
                <w:kern w:val="2"/>
                <w:sz w:val="21"/>
                <w:szCs w:val="21"/>
                <w:highlight w:val="none"/>
                <w:lang w:val="en-US" w:eastAsia="zh-CN"/>
              </w:rPr>
              <w:t>/月/日</w:t>
            </w:r>
            <w:r>
              <w:rPr>
                <w:rFonts w:hint="eastAsia" w:ascii="Times New Roman" w:hAnsi="Times New Roman" w:eastAsia="宋体"/>
                <w:b w:val="0"/>
                <w:bCs w:val="0"/>
                <w:color w:val="000000"/>
                <w:kern w:val="2"/>
                <w:sz w:val="21"/>
                <w:szCs w:val="21"/>
                <w:highlight w:val="none"/>
              </w:rPr>
              <w:t xml:space="preserve"> </w:t>
            </w:r>
            <w:r>
              <w:rPr>
                <w:rFonts w:ascii="Times New Roman" w:hAnsi="Times New Roman" w:eastAsia="宋体"/>
                <w:b w:val="0"/>
                <w:bCs w:val="0"/>
                <w:color w:val="000000"/>
                <w:kern w:val="2"/>
                <w:sz w:val="21"/>
                <w:szCs w:val="21"/>
                <w:highlight w:val="none"/>
              </w:rPr>
              <w:t xml:space="preserve"> 08:30至</w:t>
            </w:r>
          </w:p>
          <w:p>
            <w:pPr>
              <w:pStyle w:val="139"/>
              <w:spacing w:before="70" w:line="224" w:lineRule="auto"/>
              <w:ind w:left="113"/>
              <w:jc w:val="both"/>
              <w:rPr>
                <w:color w:val="000000"/>
                <w:highlight w:val="none"/>
              </w:rPr>
            </w:pPr>
            <w:r>
              <w:rPr>
                <w:rFonts w:hint="eastAsia" w:ascii="Times New Roman" w:hAnsi="Times New Roman"/>
                <w:b w:val="0"/>
                <w:bCs w:val="0"/>
                <w:color w:val="000000"/>
                <w:kern w:val="2"/>
                <w:sz w:val="21"/>
                <w:szCs w:val="21"/>
                <w:highlight w:val="none"/>
                <w:lang w:eastAsia="zh-CN"/>
              </w:rPr>
              <w:t>2024年</w:t>
            </w:r>
            <w:r>
              <w:rPr>
                <w:rFonts w:hint="eastAsia" w:ascii="Times New Roman" w:hAnsi="Times New Roman"/>
                <w:b w:val="0"/>
                <w:bCs w:val="0"/>
                <w:color w:val="000000"/>
                <w:kern w:val="2"/>
                <w:sz w:val="21"/>
                <w:szCs w:val="21"/>
                <w:highlight w:val="none"/>
                <w:lang w:val="en-US" w:eastAsia="zh-CN"/>
              </w:rPr>
              <w:t>/月/日</w:t>
            </w:r>
            <w:r>
              <w:rPr>
                <w:rFonts w:hint="eastAsia" w:ascii="Times New Roman" w:hAnsi="Times New Roman" w:eastAsia="宋体"/>
                <w:b w:val="0"/>
                <w:bCs w:val="0"/>
                <w:color w:val="000000"/>
                <w:kern w:val="2"/>
                <w:sz w:val="21"/>
                <w:szCs w:val="21"/>
                <w:highlight w:val="none"/>
              </w:rPr>
              <w:t xml:space="preserve"> </w:t>
            </w:r>
            <w:r>
              <w:rPr>
                <w:rFonts w:ascii="Times New Roman" w:hAnsi="Times New Roman" w:eastAsia="宋体"/>
                <w:b w:val="0"/>
                <w:bCs w:val="0"/>
                <w:color w:val="000000"/>
                <w:kern w:val="2"/>
                <w:sz w:val="21"/>
                <w:szCs w:val="21"/>
                <w:highlight w:val="none"/>
              </w:rPr>
              <w:t xml:space="preserve"> </w:t>
            </w:r>
            <w:r>
              <w:rPr>
                <w:rFonts w:hint="eastAsia" w:ascii="Times New Roman" w:hAnsi="Times New Roman" w:eastAsia="宋体"/>
                <w:b w:val="0"/>
                <w:bCs w:val="0"/>
                <w:color w:val="000000"/>
                <w:kern w:val="2"/>
                <w:sz w:val="21"/>
                <w:szCs w:val="21"/>
                <w:highlight w:val="none"/>
              </w:rPr>
              <w:t>17:00</w:t>
            </w:r>
          </w:p>
        </w:tc>
        <w:tc>
          <w:tcPr>
            <w:tcW w:w="1277" w:type="dxa"/>
            <w:gridSpan w:val="3"/>
            <w:noWrap w:val="0"/>
            <w:vAlign w:val="center"/>
          </w:tcPr>
          <w:p>
            <w:pPr>
              <w:pStyle w:val="139"/>
              <w:spacing w:before="52" w:line="248" w:lineRule="auto"/>
              <w:ind w:left="115" w:right="99"/>
              <w:jc w:val="both"/>
              <w:rPr>
                <w:color w:val="000000"/>
                <w:highlight w:val="none"/>
              </w:rPr>
            </w:pPr>
            <w:r>
              <w:rPr>
                <w:color w:val="000000"/>
                <w:spacing w:val="23"/>
                <w:highlight w:val="none"/>
              </w:rPr>
              <w:t>招标文件获取</w:t>
            </w:r>
            <w:r>
              <w:rPr>
                <w:color w:val="000000"/>
                <w:spacing w:val="3"/>
                <w:highlight w:val="none"/>
              </w:rPr>
              <w:t xml:space="preserve"> </w:t>
            </w:r>
            <w:r>
              <w:rPr>
                <w:color w:val="000000"/>
                <w:spacing w:val="-2"/>
                <w:highlight w:val="none"/>
              </w:rPr>
              <w:t>方式</w:t>
            </w:r>
          </w:p>
        </w:tc>
        <w:tc>
          <w:tcPr>
            <w:tcW w:w="3022" w:type="dxa"/>
            <w:gridSpan w:val="5"/>
            <w:noWrap w:val="0"/>
            <w:vAlign w:val="center"/>
          </w:tcPr>
          <w:p>
            <w:pPr>
              <w:pStyle w:val="139"/>
              <w:spacing w:before="207" w:line="221" w:lineRule="auto"/>
              <w:ind w:left="553"/>
              <w:jc w:val="both"/>
              <w:rPr>
                <w:color w:val="000000"/>
              </w:rPr>
            </w:pPr>
            <w:r>
              <w:rPr>
                <w:color w:val="000000"/>
                <w:spacing w:val="-6"/>
              </w:rPr>
              <w:t>网上获取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1528" w:type="dxa"/>
            <w:noWrap w:val="0"/>
            <w:vAlign w:val="center"/>
          </w:tcPr>
          <w:p>
            <w:pPr>
              <w:pStyle w:val="139"/>
              <w:spacing w:before="143" w:line="252" w:lineRule="auto"/>
              <w:ind w:left="113" w:right="106"/>
              <w:jc w:val="both"/>
              <w:rPr>
                <w:color w:val="000000"/>
                <w:spacing w:val="7"/>
              </w:rPr>
            </w:pPr>
          </w:p>
          <w:p>
            <w:pPr>
              <w:pStyle w:val="139"/>
              <w:spacing w:before="143" w:line="252" w:lineRule="auto"/>
              <w:ind w:left="113" w:right="106"/>
              <w:jc w:val="both"/>
              <w:rPr>
                <w:color w:val="000000"/>
              </w:rPr>
            </w:pPr>
            <w:r>
              <w:rPr>
                <w:color w:val="000000"/>
                <w:spacing w:val="7"/>
              </w:rPr>
              <w:t>招标文件获取</w:t>
            </w:r>
            <w:r>
              <w:rPr>
                <w:color w:val="000000"/>
              </w:rPr>
              <w:t xml:space="preserve"> </w:t>
            </w:r>
            <w:r>
              <w:rPr>
                <w:color w:val="000000"/>
                <w:spacing w:val="-2"/>
              </w:rPr>
              <w:t>地址</w:t>
            </w:r>
          </w:p>
        </w:tc>
        <w:tc>
          <w:tcPr>
            <w:tcW w:w="7317" w:type="dxa"/>
            <w:gridSpan w:val="9"/>
            <w:noWrap w:val="0"/>
            <w:vAlign w:val="center"/>
          </w:tcPr>
          <w:p>
            <w:pPr>
              <w:pStyle w:val="139"/>
              <w:spacing w:before="298" w:line="360" w:lineRule="auto"/>
              <w:jc w:val="both"/>
              <w:rPr>
                <w:color w:val="000000"/>
              </w:rPr>
            </w:pPr>
            <w:r>
              <w:rPr>
                <w:rFonts w:hint="eastAsia" w:ascii="宋体" w:hAnsi="宋体" w:eastAsia="宋体" w:cs="宋体"/>
                <w:color w:val="000000"/>
                <w:spacing w:val="-5"/>
                <w:lang w:val="en-US" w:eastAsia="zh-CN"/>
              </w:rPr>
              <w:t>在</w:t>
            </w:r>
            <w:r>
              <w:rPr>
                <w:rFonts w:hint="eastAsia" w:ascii="宋体" w:hAnsi="宋体" w:eastAsia="宋体" w:cs="宋体"/>
                <w:color w:val="000000"/>
                <w:spacing w:val="-5"/>
              </w:rPr>
              <w:t>“</w:t>
            </w:r>
            <w:r>
              <w:rPr>
                <w:rFonts w:hint="eastAsia" w:ascii="宋体" w:hAnsi="宋体" w:eastAsia="宋体" w:cs="宋体"/>
                <w:color w:val="000000"/>
                <w:spacing w:val="-5"/>
                <w:lang w:val="en-US" w:eastAsia="zh-CN"/>
              </w:rPr>
              <w:t>辽宁省公共资源交易一张网电子化平台（https://www.lnsggzy.com/EpointSSO/login/oauth2login）</w:t>
            </w:r>
            <w:r>
              <w:rPr>
                <w:rFonts w:hint="eastAsia" w:ascii="宋体" w:hAnsi="宋体" w:eastAsia="宋体" w:cs="宋体"/>
                <w:color w:val="000000"/>
                <w:spacing w:val="-5"/>
              </w:rPr>
              <w:t>”上进行投标确认，自行下载招标文件。投标人在投标的全过程中要随时关注辽宁省公共资源交易一张网电子化平台，及时获取相关信息，否则，由此造成的一切后果，由投标人自行负责。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51" w:line="248" w:lineRule="auto"/>
              <w:ind w:left="112" w:right="106" w:firstLine="3"/>
              <w:jc w:val="both"/>
              <w:rPr>
                <w:color w:val="000000"/>
              </w:rPr>
            </w:pPr>
            <w:r>
              <w:rPr>
                <w:color w:val="000000"/>
                <w:spacing w:val="6"/>
              </w:rPr>
              <w:t>投标文件递交</w:t>
            </w:r>
            <w:r>
              <w:rPr>
                <w:color w:val="000000"/>
                <w:spacing w:val="3"/>
              </w:rPr>
              <w:t xml:space="preserve"> </w:t>
            </w:r>
            <w:r>
              <w:rPr>
                <w:color w:val="000000"/>
                <w:spacing w:val="-1"/>
              </w:rPr>
              <w:t>截止时间</w:t>
            </w:r>
          </w:p>
        </w:tc>
        <w:tc>
          <w:tcPr>
            <w:tcW w:w="3018" w:type="dxa"/>
            <w:noWrap w:val="0"/>
            <w:vAlign w:val="center"/>
          </w:tcPr>
          <w:p>
            <w:pPr>
              <w:pStyle w:val="139"/>
              <w:spacing w:before="241" w:line="183" w:lineRule="auto"/>
              <w:ind w:left="114"/>
              <w:jc w:val="both"/>
              <w:rPr>
                <w:color w:val="000000"/>
                <w:highlight w:val="none"/>
              </w:rPr>
            </w:pPr>
            <w:r>
              <w:rPr>
                <w:rFonts w:hint="eastAsia" w:ascii="Times New Roman" w:hAnsi="Times New Roman"/>
                <w:b w:val="0"/>
                <w:bCs w:val="0"/>
                <w:color w:val="000000"/>
                <w:kern w:val="2"/>
                <w:sz w:val="21"/>
                <w:szCs w:val="21"/>
                <w:highlight w:val="none"/>
                <w:lang w:eastAsia="zh-CN"/>
              </w:rPr>
              <w:t>2024年</w:t>
            </w:r>
            <w:r>
              <w:rPr>
                <w:rFonts w:hint="eastAsia" w:ascii="Times New Roman" w:hAnsi="Times New Roman"/>
                <w:b w:val="0"/>
                <w:bCs w:val="0"/>
                <w:color w:val="000000"/>
                <w:kern w:val="2"/>
                <w:sz w:val="21"/>
                <w:szCs w:val="21"/>
                <w:highlight w:val="none"/>
                <w:lang w:val="en-US" w:eastAsia="zh-CN"/>
              </w:rPr>
              <w:t>/</w:t>
            </w:r>
            <w:r>
              <w:rPr>
                <w:rFonts w:hint="eastAsia" w:ascii="Times New Roman" w:hAnsi="Times New Roman"/>
                <w:b w:val="0"/>
                <w:bCs w:val="0"/>
                <w:color w:val="000000"/>
                <w:kern w:val="2"/>
                <w:sz w:val="21"/>
                <w:szCs w:val="21"/>
                <w:highlight w:val="none"/>
                <w:lang w:eastAsia="zh-CN"/>
              </w:rPr>
              <w:t>月</w:t>
            </w:r>
            <w:r>
              <w:rPr>
                <w:rFonts w:hint="eastAsia" w:ascii="Times New Roman" w:hAnsi="Times New Roman"/>
                <w:b w:val="0"/>
                <w:bCs w:val="0"/>
                <w:color w:val="000000"/>
                <w:kern w:val="2"/>
                <w:sz w:val="21"/>
                <w:szCs w:val="21"/>
                <w:highlight w:val="none"/>
                <w:lang w:val="en-US" w:eastAsia="zh-CN"/>
              </w:rPr>
              <w:t>/</w:t>
            </w:r>
            <w:r>
              <w:rPr>
                <w:rFonts w:hint="eastAsia" w:ascii="Times New Roman" w:hAnsi="Times New Roman"/>
                <w:b w:val="0"/>
                <w:bCs w:val="0"/>
                <w:color w:val="000000"/>
                <w:kern w:val="2"/>
                <w:sz w:val="21"/>
                <w:szCs w:val="21"/>
                <w:highlight w:val="none"/>
                <w:lang w:eastAsia="zh-CN"/>
              </w:rPr>
              <w:t>日</w:t>
            </w:r>
            <w:r>
              <w:rPr>
                <w:rFonts w:ascii="Times New Roman" w:hAnsi="Times New Roman" w:eastAsia="宋体"/>
                <w:b w:val="0"/>
                <w:bCs w:val="0"/>
                <w:color w:val="000000"/>
                <w:kern w:val="2"/>
                <w:sz w:val="21"/>
                <w:szCs w:val="21"/>
                <w:highlight w:val="none"/>
              </w:rPr>
              <w:t xml:space="preserve">  </w:t>
            </w:r>
            <w:r>
              <w:rPr>
                <w:rFonts w:hint="eastAsia" w:ascii="Times New Roman" w:hAnsi="Times New Roman" w:eastAsia="宋体"/>
                <w:b w:val="0"/>
                <w:bCs w:val="0"/>
                <w:color w:val="000000"/>
                <w:kern w:val="2"/>
                <w:sz w:val="21"/>
                <w:szCs w:val="21"/>
                <w:highlight w:val="none"/>
              </w:rPr>
              <w:t xml:space="preserve"> 9:30</w:t>
            </w:r>
          </w:p>
        </w:tc>
        <w:tc>
          <w:tcPr>
            <w:tcW w:w="1277" w:type="dxa"/>
            <w:gridSpan w:val="3"/>
            <w:noWrap w:val="0"/>
            <w:vAlign w:val="center"/>
          </w:tcPr>
          <w:p>
            <w:pPr>
              <w:pStyle w:val="139"/>
              <w:spacing w:before="51" w:line="248" w:lineRule="auto"/>
              <w:ind w:left="115" w:right="99" w:firstLine="1"/>
              <w:jc w:val="both"/>
              <w:rPr>
                <w:color w:val="000000"/>
              </w:rPr>
            </w:pPr>
            <w:r>
              <w:rPr>
                <w:color w:val="000000"/>
                <w:spacing w:val="23"/>
              </w:rPr>
              <w:t>投标文件递交</w:t>
            </w:r>
            <w:r>
              <w:rPr>
                <w:color w:val="000000"/>
                <w:spacing w:val="1"/>
              </w:rPr>
              <w:t xml:space="preserve"> </w:t>
            </w:r>
            <w:r>
              <w:rPr>
                <w:color w:val="000000"/>
                <w:spacing w:val="-2"/>
              </w:rPr>
              <w:t>方法</w:t>
            </w:r>
          </w:p>
        </w:tc>
        <w:tc>
          <w:tcPr>
            <w:tcW w:w="3022" w:type="dxa"/>
            <w:gridSpan w:val="5"/>
            <w:noWrap w:val="0"/>
            <w:vAlign w:val="center"/>
          </w:tcPr>
          <w:p>
            <w:pPr>
              <w:pStyle w:val="139"/>
              <w:spacing w:before="207" w:line="222" w:lineRule="auto"/>
              <w:ind w:left="133"/>
              <w:jc w:val="both"/>
              <w:rPr>
                <w:color w:val="000000"/>
              </w:rPr>
            </w:pPr>
            <w:r>
              <w:rPr>
                <w:color w:val="000000"/>
                <w:spacing w:val="-6"/>
              </w:rPr>
              <w:t>网上递交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528" w:type="dxa"/>
            <w:noWrap w:val="0"/>
            <w:vAlign w:val="center"/>
          </w:tcPr>
          <w:p>
            <w:pPr>
              <w:spacing w:line="294" w:lineRule="auto"/>
              <w:jc w:val="both"/>
              <w:rPr>
                <w:rFonts w:ascii="Arial"/>
                <w:color w:val="000000"/>
                <w:sz w:val="21"/>
              </w:rPr>
            </w:pPr>
          </w:p>
          <w:p>
            <w:pPr>
              <w:pStyle w:val="139"/>
              <w:spacing w:before="68" w:line="222" w:lineRule="auto"/>
              <w:ind w:left="114"/>
              <w:jc w:val="both"/>
              <w:rPr>
                <w:color w:val="000000"/>
              </w:rPr>
            </w:pPr>
            <w:r>
              <w:rPr>
                <w:color w:val="000000"/>
                <w:spacing w:val="-2"/>
              </w:rPr>
              <w:t>递交地址</w:t>
            </w:r>
          </w:p>
        </w:tc>
        <w:tc>
          <w:tcPr>
            <w:tcW w:w="7317" w:type="dxa"/>
            <w:gridSpan w:val="9"/>
            <w:noWrap w:val="0"/>
            <w:vAlign w:val="center"/>
          </w:tcPr>
          <w:p>
            <w:pPr>
              <w:pStyle w:val="139"/>
              <w:spacing w:before="53" w:line="256" w:lineRule="auto"/>
              <w:ind w:left="110" w:right="103" w:firstLine="26"/>
              <w:jc w:val="both"/>
              <w:rPr>
                <w:color w:val="000000"/>
                <w:highlight w:val="none"/>
              </w:rPr>
            </w:pPr>
            <w:r>
              <w:rPr>
                <w:rFonts w:hint="eastAsia" w:ascii="Times New Roman" w:hAnsi="Times New Roman" w:eastAsia="宋体" w:cs="Times New Roman"/>
                <w:b w:val="0"/>
                <w:bCs w:val="0"/>
                <w:color w:val="000000"/>
                <w:sz w:val="21"/>
                <w:szCs w:val="21"/>
                <w:highlight w:val="none"/>
                <w:lang w:val="en-US" w:eastAsia="zh-CN" w:bidi="zh-CN"/>
              </w:rPr>
              <w:t>辽宁省公共资源交易一张网电子化平台（https://www.lnsggzy.com/EpointSSO/login/oauth2login）上传投标文件。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28" w:type="dxa"/>
            <w:noWrap w:val="0"/>
            <w:vAlign w:val="center"/>
          </w:tcPr>
          <w:p>
            <w:pPr>
              <w:pStyle w:val="139"/>
              <w:spacing w:before="53" w:line="221" w:lineRule="auto"/>
              <w:ind w:left="114"/>
              <w:jc w:val="both"/>
              <w:rPr>
                <w:color w:val="000000"/>
              </w:rPr>
            </w:pPr>
            <w:r>
              <w:rPr>
                <w:color w:val="000000"/>
                <w:spacing w:val="-2"/>
              </w:rPr>
              <w:t>开标时间</w:t>
            </w:r>
          </w:p>
        </w:tc>
        <w:tc>
          <w:tcPr>
            <w:tcW w:w="3018" w:type="dxa"/>
            <w:noWrap w:val="0"/>
            <w:vAlign w:val="center"/>
          </w:tcPr>
          <w:p>
            <w:pPr>
              <w:pStyle w:val="139"/>
              <w:spacing w:before="87" w:line="183" w:lineRule="auto"/>
              <w:ind w:left="114"/>
              <w:jc w:val="both"/>
              <w:rPr>
                <w:color w:val="000000"/>
                <w:highlight w:val="none"/>
              </w:rPr>
            </w:pPr>
            <w:r>
              <w:rPr>
                <w:rFonts w:hint="eastAsia" w:ascii="Times New Roman" w:hAnsi="Times New Roman"/>
                <w:b w:val="0"/>
                <w:bCs w:val="0"/>
                <w:color w:val="000000"/>
                <w:kern w:val="2"/>
                <w:sz w:val="21"/>
                <w:szCs w:val="21"/>
                <w:highlight w:val="none"/>
                <w:lang w:eastAsia="zh-CN"/>
              </w:rPr>
              <w:t>2024年</w:t>
            </w:r>
            <w:r>
              <w:rPr>
                <w:rFonts w:hint="eastAsia" w:ascii="Times New Roman" w:hAnsi="Times New Roman"/>
                <w:b w:val="0"/>
                <w:bCs w:val="0"/>
                <w:color w:val="000000"/>
                <w:kern w:val="2"/>
                <w:sz w:val="21"/>
                <w:szCs w:val="21"/>
                <w:highlight w:val="none"/>
                <w:lang w:val="en-US" w:eastAsia="zh-CN"/>
              </w:rPr>
              <w:t>/</w:t>
            </w:r>
            <w:r>
              <w:rPr>
                <w:rFonts w:hint="eastAsia" w:ascii="Times New Roman" w:hAnsi="Times New Roman"/>
                <w:b w:val="0"/>
                <w:bCs w:val="0"/>
                <w:color w:val="000000"/>
                <w:kern w:val="2"/>
                <w:sz w:val="21"/>
                <w:szCs w:val="21"/>
                <w:highlight w:val="none"/>
                <w:lang w:eastAsia="zh-CN"/>
              </w:rPr>
              <w:t>月</w:t>
            </w:r>
            <w:r>
              <w:rPr>
                <w:rFonts w:hint="eastAsia" w:ascii="Times New Roman" w:hAnsi="Times New Roman"/>
                <w:b w:val="0"/>
                <w:bCs w:val="0"/>
                <w:color w:val="000000"/>
                <w:kern w:val="2"/>
                <w:sz w:val="21"/>
                <w:szCs w:val="21"/>
                <w:highlight w:val="none"/>
                <w:lang w:val="en-US" w:eastAsia="zh-CN"/>
              </w:rPr>
              <w:t>/</w:t>
            </w:r>
            <w:r>
              <w:rPr>
                <w:rFonts w:hint="eastAsia" w:ascii="Times New Roman" w:hAnsi="Times New Roman"/>
                <w:b w:val="0"/>
                <w:bCs w:val="0"/>
                <w:color w:val="000000"/>
                <w:kern w:val="2"/>
                <w:sz w:val="21"/>
                <w:szCs w:val="21"/>
                <w:highlight w:val="none"/>
                <w:lang w:eastAsia="zh-CN"/>
              </w:rPr>
              <w:t>日</w:t>
            </w:r>
            <w:r>
              <w:rPr>
                <w:rFonts w:ascii="Times New Roman" w:hAnsi="Times New Roman" w:eastAsia="宋体"/>
                <w:b w:val="0"/>
                <w:bCs w:val="0"/>
                <w:color w:val="000000"/>
                <w:kern w:val="2"/>
                <w:sz w:val="21"/>
                <w:szCs w:val="21"/>
                <w:highlight w:val="none"/>
              </w:rPr>
              <w:t xml:space="preserve">  </w:t>
            </w:r>
            <w:r>
              <w:rPr>
                <w:rFonts w:hint="eastAsia" w:ascii="Times New Roman" w:hAnsi="Times New Roman" w:eastAsia="宋体"/>
                <w:b w:val="0"/>
                <w:bCs w:val="0"/>
                <w:color w:val="000000"/>
                <w:kern w:val="2"/>
                <w:sz w:val="21"/>
                <w:szCs w:val="21"/>
                <w:highlight w:val="none"/>
              </w:rPr>
              <w:t xml:space="preserve"> 9:30</w:t>
            </w:r>
          </w:p>
        </w:tc>
        <w:tc>
          <w:tcPr>
            <w:tcW w:w="1277" w:type="dxa"/>
            <w:gridSpan w:val="3"/>
            <w:noWrap w:val="0"/>
            <w:vAlign w:val="center"/>
          </w:tcPr>
          <w:p>
            <w:pPr>
              <w:pStyle w:val="139"/>
              <w:spacing w:before="53" w:line="221" w:lineRule="auto"/>
              <w:ind w:left="115"/>
              <w:jc w:val="both"/>
              <w:rPr>
                <w:color w:val="000000"/>
              </w:rPr>
            </w:pPr>
            <w:r>
              <w:rPr>
                <w:color w:val="000000"/>
                <w:spacing w:val="-2"/>
              </w:rPr>
              <w:t>开标方式</w:t>
            </w:r>
          </w:p>
        </w:tc>
        <w:tc>
          <w:tcPr>
            <w:tcW w:w="3022" w:type="dxa"/>
            <w:gridSpan w:val="5"/>
            <w:noWrap w:val="0"/>
            <w:vAlign w:val="center"/>
          </w:tcPr>
          <w:p>
            <w:pPr>
              <w:pStyle w:val="139"/>
              <w:spacing w:before="52" w:line="221" w:lineRule="auto"/>
              <w:ind w:left="117"/>
              <w:jc w:val="both"/>
              <w:rPr>
                <w:color w:val="000000"/>
              </w:rPr>
            </w:pPr>
            <w:r>
              <w:rPr>
                <w:color w:val="000000"/>
                <w:spacing w:val="-2"/>
              </w:rPr>
              <w:t>远程开标（不见面交易）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2" w:hRule="atLeast"/>
        </w:trPr>
        <w:tc>
          <w:tcPr>
            <w:tcW w:w="1528" w:type="dxa"/>
            <w:noWrap w:val="0"/>
            <w:vAlign w:val="center"/>
          </w:tcPr>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0" w:lineRule="auto"/>
              <w:jc w:val="both"/>
              <w:rPr>
                <w:rFonts w:ascii="Arial"/>
                <w:color w:val="000000"/>
                <w:sz w:val="21"/>
              </w:rPr>
            </w:pPr>
          </w:p>
          <w:p>
            <w:pPr>
              <w:spacing w:line="251" w:lineRule="auto"/>
              <w:jc w:val="both"/>
              <w:rPr>
                <w:rFonts w:ascii="Arial"/>
                <w:color w:val="000000"/>
                <w:sz w:val="21"/>
              </w:rPr>
            </w:pPr>
          </w:p>
          <w:p>
            <w:pPr>
              <w:pStyle w:val="139"/>
              <w:spacing w:before="68" w:line="221" w:lineRule="auto"/>
              <w:ind w:left="114"/>
              <w:jc w:val="both"/>
              <w:rPr>
                <w:color w:val="000000"/>
              </w:rPr>
            </w:pPr>
            <w:r>
              <w:rPr>
                <w:color w:val="000000"/>
                <w:spacing w:val="-1"/>
              </w:rPr>
              <w:t>开标方式描述</w:t>
            </w:r>
          </w:p>
        </w:tc>
        <w:tc>
          <w:tcPr>
            <w:tcW w:w="7317" w:type="dxa"/>
            <w:gridSpan w:val="9"/>
            <w:noWrap w:val="0"/>
            <w:vAlign w:val="center"/>
          </w:tcPr>
          <w:p>
            <w:pPr>
              <w:pStyle w:val="139"/>
              <w:spacing w:before="45" w:line="360" w:lineRule="auto"/>
              <w:ind w:left="109" w:right="102" w:firstLine="3"/>
              <w:jc w:val="both"/>
              <w:rPr>
                <w:color w:val="000000"/>
              </w:rPr>
            </w:pPr>
            <w:r>
              <w:rPr>
                <w:rFonts w:hint="eastAsia" w:ascii="Times New Roman" w:hAnsi="Times New Roman" w:eastAsia="宋体" w:cs="Times New Roman"/>
                <w:b w:val="0"/>
                <w:bCs w:val="0"/>
                <w:color w:val="000000"/>
                <w:sz w:val="21"/>
                <w:szCs w:val="21"/>
                <w:highlight w:val="none"/>
                <w:lang w:bidi="zh-CN"/>
              </w:rPr>
              <w:t>本项目</w:t>
            </w:r>
            <w:r>
              <w:rPr>
                <w:rFonts w:hint="eastAsia" w:ascii="Times New Roman" w:hAnsi="Times New Roman" w:eastAsia="宋体" w:cs="Times New Roman"/>
                <w:b w:val="0"/>
                <w:bCs w:val="0"/>
                <w:color w:val="000000"/>
                <w:sz w:val="21"/>
                <w:szCs w:val="21"/>
                <w:highlight w:val="none"/>
                <w:lang w:val="en-US" w:eastAsia="zh-CN" w:bidi="zh-CN"/>
              </w:rPr>
              <w:t>采用远程开标（不见面交易）</w:t>
            </w:r>
            <w:r>
              <w:rPr>
                <w:rFonts w:hint="eastAsia" w:ascii="Times New Roman" w:hAnsi="Times New Roman" w:eastAsia="宋体" w:cs="Times New Roman"/>
                <w:b w:val="0"/>
                <w:bCs w:val="0"/>
                <w:color w:val="000000"/>
                <w:sz w:val="21"/>
                <w:szCs w:val="21"/>
                <w:highlight w:val="none"/>
                <w:lang w:bidi="zh-CN"/>
              </w:rPr>
              <w:t>。在</w:t>
            </w:r>
            <w:r>
              <w:rPr>
                <w:rFonts w:hint="eastAsia" w:ascii="Times New Roman" w:hAnsi="Times New Roman" w:eastAsia="宋体" w:cs="Times New Roman"/>
                <w:b w:val="0"/>
                <w:bCs w:val="0"/>
                <w:color w:val="000000"/>
                <w:sz w:val="21"/>
                <w:szCs w:val="21"/>
                <w:highlight w:val="none"/>
                <w:lang w:val="en-US" w:eastAsia="zh-CN" w:bidi="zh-CN"/>
              </w:rPr>
              <w:t>辽宁省公共资源交易一张网电子化平台（https://www.lnsggzy.com/EpointSSO/login/oauth2login）上传电子投标文件</w:t>
            </w:r>
            <w:r>
              <w:rPr>
                <w:rFonts w:hint="eastAsia" w:ascii="Times New Roman" w:hAnsi="Times New Roman" w:eastAsia="宋体" w:cs="Times New Roman"/>
                <w:b w:val="0"/>
                <w:bCs w:val="0"/>
                <w:color w:val="000000"/>
                <w:sz w:val="21"/>
                <w:szCs w:val="21"/>
                <w:highlight w:val="none"/>
                <w:lang w:bidi="zh-CN"/>
              </w:rPr>
              <w:t>，纸质版</w:t>
            </w:r>
            <w:r>
              <w:rPr>
                <w:rFonts w:hint="eastAsia" w:ascii="Times New Roman" w:hAnsi="Times New Roman" w:eastAsia="宋体" w:cs="Times New Roman"/>
                <w:b w:val="0"/>
                <w:bCs w:val="0"/>
                <w:color w:val="000000"/>
                <w:sz w:val="21"/>
                <w:szCs w:val="21"/>
                <w:highlight w:val="none"/>
                <w:lang w:val="en-US" w:bidi="zh-CN"/>
              </w:rPr>
              <w:t>备份</w:t>
            </w:r>
            <w:r>
              <w:rPr>
                <w:rFonts w:hint="eastAsia" w:ascii="Times New Roman" w:hAnsi="Times New Roman" w:eastAsia="宋体" w:cs="Times New Roman"/>
                <w:b w:val="0"/>
                <w:bCs w:val="0"/>
                <w:color w:val="000000"/>
                <w:sz w:val="21"/>
                <w:szCs w:val="21"/>
                <w:highlight w:val="none"/>
                <w:lang w:bidi="zh-CN"/>
              </w:rPr>
              <w:t>投标文件递交至</w:t>
            </w:r>
            <w:r>
              <w:rPr>
                <w:rFonts w:ascii="Helvetica" w:hAnsi="Helvetica"/>
                <w:color w:val="000000"/>
                <w:highlight w:val="none"/>
                <w:shd w:val="clear" w:color="auto" w:fill="FFFFFF"/>
              </w:rPr>
              <w:t>大石桥市审批技术审查与公共资源交易中心(营口大石桥市二高街2号)</w:t>
            </w:r>
            <w:r>
              <w:rPr>
                <w:rFonts w:hint="eastAsia" w:ascii="Times New Roman" w:hAnsi="Times New Roman" w:eastAsia="宋体" w:cs="Times New Roman"/>
                <w:b w:val="0"/>
                <w:bCs w:val="0"/>
                <w:color w:val="000000"/>
                <w:sz w:val="21"/>
                <w:szCs w:val="21"/>
                <w:highlight w:val="none"/>
                <w:lang w:bidi="zh-CN"/>
              </w:rPr>
              <w:t>。</w:t>
            </w:r>
            <w:r>
              <w:rPr>
                <w:rFonts w:hint="eastAsia" w:ascii="Times New Roman" w:hAnsi="Times New Roman" w:eastAsia="宋体" w:cs="Times New Roman"/>
                <w:b w:val="0"/>
                <w:bCs w:val="0"/>
                <w:color w:val="000000"/>
                <w:sz w:val="21"/>
                <w:szCs w:val="21"/>
                <w:highlight w:val="none"/>
                <w:lang w:val="en-US" w:eastAsia="zh-CN" w:bidi="zh-CN"/>
              </w:rPr>
              <w:t>请投标人按招标文件规定时间使用</w:t>
            </w:r>
            <w:r>
              <w:rPr>
                <w:rFonts w:hint="eastAsia" w:ascii="Times New Roman" w:hAnsi="Times New Roman" w:eastAsia="宋体"/>
                <w:b w:val="0"/>
                <w:bCs w:val="0"/>
                <w:color w:val="000000"/>
                <w:kern w:val="2"/>
                <w:sz w:val="21"/>
                <w:szCs w:val="21"/>
                <w:highlight w:val="none"/>
              </w:rPr>
              <w:t>CA数字证书</w:t>
            </w:r>
            <w:r>
              <w:rPr>
                <w:rFonts w:hint="eastAsia" w:ascii="Times New Roman" w:hAnsi="Times New Roman" w:eastAsia="宋体" w:cs="Times New Roman"/>
                <w:b w:val="0"/>
                <w:bCs w:val="0"/>
                <w:color w:val="000000"/>
                <w:sz w:val="21"/>
                <w:szCs w:val="21"/>
                <w:highlight w:val="none"/>
                <w:lang w:val="en-US" w:eastAsia="zh-CN" w:bidi="zh-CN"/>
              </w:rPr>
              <w:t>登录辽宁省公共资源交易中心不见面开标大厅 （https://www.lnsggzy.com/BidOpeningHall/bidhall/dqliaoning/login.html）进行远程、在线解密。并且在招标文件规定的</w:t>
            </w:r>
            <w:r>
              <w:rPr>
                <w:rFonts w:hint="eastAsia" w:ascii="Times New Roman" w:hAnsi="Times New Roman" w:eastAsia="宋体" w:cs="Times New Roman"/>
                <w:b w:val="0"/>
                <w:bCs w:val="0"/>
                <w:color w:val="000000"/>
                <w:sz w:val="21"/>
                <w:szCs w:val="21"/>
                <w:highlight w:val="none"/>
                <w:lang w:bidi="zh-CN"/>
              </w:rPr>
              <w:t>解密时限内</w:t>
            </w:r>
            <w:r>
              <w:rPr>
                <w:rFonts w:hint="eastAsia" w:ascii="Times New Roman" w:hAnsi="Times New Roman" w:eastAsia="宋体" w:cs="Times New Roman"/>
                <w:b w:val="0"/>
                <w:bCs w:val="0"/>
                <w:color w:val="000000"/>
                <w:sz w:val="21"/>
                <w:szCs w:val="21"/>
                <w:highlight w:val="none"/>
                <w:lang w:val="en-US" w:eastAsia="zh-CN" w:bidi="zh-CN"/>
              </w:rPr>
              <w:t>完成解密工作</w:t>
            </w:r>
            <w:r>
              <w:rPr>
                <w:rFonts w:hint="eastAsia" w:ascii="Times New Roman" w:hAnsi="Times New Roman" w:eastAsia="宋体" w:cs="Times New Roman"/>
                <w:b w:val="0"/>
                <w:bCs w:val="0"/>
                <w:color w:val="000000"/>
                <w:sz w:val="21"/>
                <w:szCs w:val="21"/>
                <w:highlight w:val="none"/>
                <w:lang w:bidi="zh-CN"/>
              </w:rPr>
              <w:t>（因开标系统发生不可抗力产生延误解密时间的，招标人将延长相应的解密时长，其他原因不予延长解密时间）</w:t>
            </w:r>
            <w:r>
              <w:rPr>
                <w:rFonts w:hint="eastAsia" w:ascii="Times New Roman" w:hAnsi="Times New Roman" w:eastAsia="宋体" w:cs="Times New Roman"/>
                <w:b w:val="0"/>
                <w:bCs w:val="0"/>
                <w:color w:val="000000"/>
                <w:sz w:val="21"/>
                <w:szCs w:val="21"/>
                <w:highlight w:val="none"/>
                <w:lang w:eastAsia="zh-CN" w:bidi="zh-CN"/>
              </w:rPr>
              <w:t>；</w:t>
            </w:r>
            <w:r>
              <w:rPr>
                <w:rFonts w:hint="eastAsia" w:ascii="Times New Roman" w:hAnsi="Times New Roman" w:eastAsia="宋体" w:cs="Times New Roman"/>
                <w:b w:val="0"/>
                <w:bCs w:val="0"/>
                <w:color w:val="000000"/>
                <w:sz w:val="21"/>
                <w:szCs w:val="21"/>
                <w:highlight w:val="none"/>
                <w:lang w:bidi="zh-CN"/>
              </w:rPr>
              <w:t>未在规定时间内完成解密的投标人，视为放弃本次投标，招标人不再接收。因开标系统发生不可抗力无法进行电子开标的，采用现场纸质开标。逾期递交的或者未按要求递交的投标文件，</w:t>
            </w:r>
            <w:r>
              <w:rPr>
                <w:rFonts w:hint="eastAsia" w:ascii="Times New Roman" w:hAnsi="Times New Roman" w:eastAsia="宋体" w:cs="Times New Roman"/>
                <w:b w:val="0"/>
                <w:bCs w:val="0"/>
                <w:color w:val="000000"/>
                <w:sz w:val="21"/>
                <w:szCs w:val="21"/>
                <w:highlight w:val="none"/>
                <w:lang w:val="en-US" w:eastAsia="zh-CN" w:bidi="zh-CN"/>
              </w:rPr>
              <w:t>将</w:t>
            </w:r>
            <w:r>
              <w:rPr>
                <w:rFonts w:hint="eastAsia" w:ascii="Times New Roman" w:hAnsi="Times New Roman" w:eastAsia="宋体" w:cs="Times New Roman"/>
                <w:b w:val="0"/>
                <w:bCs w:val="0"/>
                <w:color w:val="000000"/>
                <w:sz w:val="21"/>
                <w:szCs w:val="21"/>
                <w:highlight w:val="none"/>
                <w:lang w:bidi="zh-CN"/>
              </w:rPr>
              <w:t>不予受理。</w:t>
            </w:r>
            <w:r>
              <w:rPr>
                <w:rFonts w:hint="eastAsia" w:ascii="宋体" w:hAnsi="宋体" w:cs="宋体"/>
                <w:szCs w:val="21"/>
                <w:lang w:val="en-US" w:eastAsia="zh-CN"/>
              </w:rPr>
              <w:t>如遇投标工程量清单或平台操作等问题可与新点软件王工联系：13019466009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28" w:type="dxa"/>
            <w:noWrap w:val="0"/>
            <w:vAlign w:val="center"/>
          </w:tcPr>
          <w:p>
            <w:pPr>
              <w:pStyle w:val="139"/>
              <w:spacing w:before="56" w:line="221" w:lineRule="auto"/>
              <w:ind w:left="112"/>
              <w:jc w:val="both"/>
              <w:rPr>
                <w:color w:val="000000"/>
              </w:rPr>
            </w:pPr>
            <w:r>
              <w:rPr>
                <w:color w:val="000000"/>
                <w:spacing w:val="-1"/>
              </w:rPr>
              <w:t>评审办法</w:t>
            </w:r>
          </w:p>
        </w:tc>
        <w:tc>
          <w:tcPr>
            <w:tcW w:w="3109" w:type="dxa"/>
            <w:gridSpan w:val="2"/>
            <w:noWrap w:val="0"/>
            <w:vAlign w:val="center"/>
          </w:tcPr>
          <w:p>
            <w:pPr>
              <w:pStyle w:val="139"/>
              <w:spacing w:before="57" w:line="219" w:lineRule="auto"/>
              <w:ind w:left="114"/>
              <w:jc w:val="both"/>
              <w:rPr>
                <w:color w:val="000000"/>
              </w:rPr>
            </w:pPr>
            <w:r>
              <w:rPr>
                <w:color w:val="000000"/>
                <w:spacing w:val="-2"/>
              </w:rPr>
              <w:t>综合评估法</w:t>
            </w:r>
          </w:p>
        </w:tc>
        <w:tc>
          <w:tcPr>
            <w:tcW w:w="1531" w:type="dxa"/>
            <w:gridSpan w:val="4"/>
            <w:noWrap w:val="0"/>
            <w:vAlign w:val="center"/>
          </w:tcPr>
          <w:p>
            <w:pPr>
              <w:pStyle w:val="139"/>
              <w:spacing w:before="57" w:line="221" w:lineRule="auto"/>
              <w:ind w:left="114"/>
              <w:jc w:val="both"/>
              <w:rPr>
                <w:color w:val="000000"/>
              </w:rPr>
            </w:pPr>
            <w:r>
              <w:rPr>
                <w:color w:val="000000"/>
                <w:spacing w:val="-2"/>
              </w:rPr>
              <w:t>投标有效期</w:t>
            </w:r>
          </w:p>
        </w:tc>
        <w:tc>
          <w:tcPr>
            <w:tcW w:w="2677" w:type="dxa"/>
            <w:gridSpan w:val="3"/>
            <w:noWrap w:val="0"/>
            <w:vAlign w:val="center"/>
          </w:tcPr>
          <w:p>
            <w:pPr>
              <w:pStyle w:val="139"/>
              <w:spacing w:before="57" w:line="221" w:lineRule="auto"/>
              <w:ind w:left="99"/>
              <w:jc w:val="both"/>
              <w:rPr>
                <w:color w:val="000000"/>
              </w:rPr>
            </w:pPr>
            <w:r>
              <w:rPr>
                <w:color w:val="000000"/>
                <w:spacing w:val="-10"/>
              </w:rPr>
              <w:t>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28" w:type="dxa"/>
            <w:noWrap w:val="0"/>
            <w:vAlign w:val="center"/>
          </w:tcPr>
          <w:p>
            <w:pPr>
              <w:pStyle w:val="139"/>
              <w:spacing w:before="54" w:line="220" w:lineRule="auto"/>
              <w:ind w:left="117"/>
              <w:jc w:val="both"/>
              <w:rPr>
                <w:color w:val="000000"/>
              </w:rPr>
            </w:pPr>
            <w:r>
              <w:rPr>
                <w:color w:val="000000"/>
                <w:spacing w:val="-3"/>
              </w:rPr>
              <w:t>发布媒介</w:t>
            </w:r>
          </w:p>
        </w:tc>
        <w:tc>
          <w:tcPr>
            <w:tcW w:w="7317" w:type="dxa"/>
            <w:gridSpan w:val="9"/>
            <w:noWrap w:val="0"/>
            <w:vAlign w:val="center"/>
          </w:tcPr>
          <w:p>
            <w:pPr>
              <w:pStyle w:val="139"/>
              <w:spacing w:before="54" w:line="221" w:lineRule="auto"/>
              <w:ind w:left="117"/>
              <w:jc w:val="both"/>
              <w:rPr>
                <w:color w:val="000000"/>
              </w:rPr>
            </w:pPr>
            <w:r>
              <w:rPr>
                <w:color w:val="000000"/>
                <w:spacing w:val="-1"/>
              </w:rPr>
              <w:t>辽宁省招标投标监管网、辽宁省公共资源交易网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6" w:hRule="atLeast"/>
        </w:trPr>
        <w:tc>
          <w:tcPr>
            <w:tcW w:w="1528" w:type="dxa"/>
            <w:noWrap w:val="0"/>
            <w:vAlign w:val="center"/>
          </w:tcPr>
          <w:p>
            <w:pPr>
              <w:spacing w:line="304" w:lineRule="auto"/>
              <w:jc w:val="both"/>
              <w:rPr>
                <w:rFonts w:ascii="Arial"/>
                <w:color w:val="000000"/>
                <w:sz w:val="21"/>
              </w:rPr>
            </w:pPr>
          </w:p>
          <w:p>
            <w:pPr>
              <w:spacing w:line="304" w:lineRule="auto"/>
              <w:jc w:val="both"/>
              <w:rPr>
                <w:rFonts w:ascii="Arial"/>
                <w:color w:val="000000"/>
                <w:sz w:val="21"/>
              </w:rPr>
            </w:pPr>
          </w:p>
          <w:p>
            <w:pPr>
              <w:pStyle w:val="139"/>
              <w:spacing w:before="68" w:line="247" w:lineRule="auto"/>
              <w:ind w:left="113" w:right="106" w:firstLine="3"/>
              <w:jc w:val="both"/>
              <w:rPr>
                <w:color w:val="000000"/>
              </w:rPr>
            </w:pPr>
            <w:r>
              <w:rPr>
                <w:color w:val="000000"/>
                <w:spacing w:val="6"/>
              </w:rPr>
              <w:t>关于保证金的</w:t>
            </w:r>
            <w:r>
              <w:rPr>
                <w:color w:val="000000"/>
                <w:spacing w:val="-2"/>
              </w:rPr>
              <w:t>特殊说明</w:t>
            </w:r>
          </w:p>
        </w:tc>
        <w:tc>
          <w:tcPr>
            <w:tcW w:w="7317" w:type="dxa"/>
            <w:gridSpan w:val="9"/>
            <w:noWrap w:val="0"/>
            <w:vAlign w:val="center"/>
          </w:tcPr>
          <w:p>
            <w:pPr>
              <w:pStyle w:val="139"/>
              <w:spacing w:before="57" w:line="360" w:lineRule="auto"/>
              <w:ind w:left="111" w:right="105"/>
              <w:jc w:val="both"/>
              <w:rPr>
                <w:color w:val="000000"/>
              </w:rPr>
            </w:pPr>
            <w:r>
              <w:rPr>
                <w:color w:val="000000"/>
                <w:spacing w:val="-3"/>
              </w:rPr>
              <w:t>在监管网发布招标信息的各类项目，</w:t>
            </w:r>
            <w:r>
              <w:rPr>
                <w:color w:val="000000"/>
                <w:spacing w:val="-35"/>
              </w:rPr>
              <w:t xml:space="preserve"> </w:t>
            </w:r>
            <w:r>
              <w:rPr>
                <w:color w:val="000000"/>
                <w:spacing w:val="-3"/>
              </w:rPr>
              <w:t>各招标人</w:t>
            </w:r>
            <w:r>
              <w:rPr>
                <w:color w:val="000000"/>
                <w:spacing w:val="-4"/>
              </w:rPr>
              <w:t>（招标代理机构）应支持使用电</w:t>
            </w:r>
            <w:r>
              <w:rPr>
                <w:color w:val="000000"/>
              </w:rPr>
              <w:t xml:space="preserve"> </w:t>
            </w:r>
            <w:r>
              <w:rPr>
                <w:color w:val="000000"/>
                <w:spacing w:val="-1"/>
              </w:rPr>
              <w:t>子保函并在招标文件中予以明确。各投标人可选择</w:t>
            </w:r>
            <w:r>
              <w:rPr>
                <w:color w:val="000000"/>
                <w:spacing w:val="-2"/>
              </w:rPr>
              <w:t>缴纳保证金方式和保函办理</w:t>
            </w:r>
            <w:r>
              <w:rPr>
                <w:color w:val="000000"/>
              </w:rPr>
              <w:t xml:space="preserve"> </w:t>
            </w:r>
            <w:r>
              <w:rPr>
                <w:color w:val="000000"/>
                <w:spacing w:val="-4"/>
              </w:rPr>
              <w:t>模式， 自主选择便企金融服务平台和金融机构。任何</w:t>
            </w:r>
            <w:r>
              <w:rPr>
                <w:color w:val="000000"/>
                <w:spacing w:val="-5"/>
              </w:rPr>
              <w:t>单位或个人不得干涉投标</w:t>
            </w:r>
            <w:r>
              <w:rPr>
                <w:color w:val="000000"/>
              </w:rPr>
              <w:t xml:space="preserve"> </w:t>
            </w:r>
            <w:r>
              <w:rPr>
                <w:color w:val="000000"/>
                <w:spacing w:val="-3"/>
              </w:rPr>
              <w:t>人缴纳保证金形式，</w:t>
            </w:r>
            <w:r>
              <w:rPr>
                <w:color w:val="000000"/>
                <w:spacing w:val="-34"/>
              </w:rPr>
              <w:t xml:space="preserve"> </w:t>
            </w:r>
            <w:r>
              <w:rPr>
                <w:color w:val="000000"/>
                <w:spacing w:val="-3"/>
              </w:rPr>
              <w:t>不得指定或限定保函办</w:t>
            </w:r>
            <w:r>
              <w:rPr>
                <w:color w:val="000000"/>
                <w:spacing w:val="-4"/>
              </w:rPr>
              <w:t>理平台或机构。招标人（招标代理</w:t>
            </w:r>
            <w:r>
              <w:rPr>
                <w:color w:val="000000"/>
              </w:rPr>
              <w:t xml:space="preserve"> </w:t>
            </w:r>
            <w:r>
              <w:rPr>
                <w:color w:val="000000"/>
                <w:spacing w:val="-2"/>
              </w:rPr>
              <w:t>机构）、各地公共资源交易中心均不得排斥任何符合规定的各类保函。保函办</w:t>
            </w:r>
            <w:r>
              <w:rPr>
                <w:color w:val="000000"/>
                <w:spacing w:val="18"/>
              </w:rPr>
              <w:t xml:space="preserve"> </w:t>
            </w:r>
            <w:r>
              <w:rPr>
                <w:color w:val="000000"/>
                <w:spacing w:val="-1"/>
              </w:rPr>
              <w:t>理机构应提供电子化保函验真渠道和保函财务费用支付信息。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28" w:type="dxa"/>
            <w:noWrap w:val="0"/>
            <w:vAlign w:val="center"/>
          </w:tcPr>
          <w:p>
            <w:pPr>
              <w:spacing w:line="298" w:lineRule="auto"/>
              <w:jc w:val="both"/>
              <w:rPr>
                <w:rFonts w:ascii="Arial"/>
                <w:color w:val="000000"/>
                <w:sz w:val="21"/>
              </w:rPr>
            </w:pPr>
          </w:p>
          <w:p>
            <w:pPr>
              <w:pStyle w:val="139"/>
              <w:spacing w:before="69" w:line="219" w:lineRule="auto"/>
              <w:ind w:left="114"/>
              <w:jc w:val="both"/>
              <w:rPr>
                <w:color w:val="000000"/>
              </w:rPr>
            </w:pPr>
            <w:r>
              <w:rPr>
                <w:color w:val="000000"/>
                <w:spacing w:val="-1"/>
                <w:highlight w:val="none"/>
              </w:rPr>
              <w:t>其他公告内容</w:t>
            </w:r>
          </w:p>
        </w:tc>
        <w:tc>
          <w:tcPr>
            <w:tcW w:w="7317" w:type="dxa"/>
            <w:gridSpan w:val="9"/>
            <w:noWrap w:val="0"/>
            <w:vAlign w:val="center"/>
          </w:tcPr>
          <w:p>
            <w:pPr>
              <w:keepNext w:val="0"/>
              <w:keepLines w:val="0"/>
              <w:widowControl/>
              <w:numPr>
                <w:ilvl w:val="0"/>
                <w:numId w:val="0"/>
              </w:numPr>
              <w:suppressLineNumbers w:val="0"/>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1.本次招标实行资格后审，未通过资格后审的投标文件将不被接受。</w:t>
            </w:r>
          </w:p>
          <w:p>
            <w:pPr>
              <w:keepNext w:val="0"/>
              <w:keepLines w:val="0"/>
              <w:widowControl/>
              <w:numPr>
                <w:ilvl w:val="0"/>
                <w:numId w:val="0"/>
              </w:numPr>
              <w:suppressLineNumbers w:val="0"/>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 投标人在招投标过程中所提供的资料必须保证真实有效，如发现投标单位有提供虚假资料、恶意围标、串标行为，将终止其投标，中标的将取消中标资格并进行失信曝光。 </w:t>
            </w:r>
          </w:p>
          <w:p>
            <w:pPr>
              <w:pStyle w:val="139"/>
              <w:spacing w:before="57" w:line="256" w:lineRule="auto"/>
              <w:ind w:left="111" w:right="105" w:firstLine="2"/>
              <w:jc w:val="both"/>
              <w:rPr>
                <w:color w:val="000000"/>
              </w:rPr>
            </w:pPr>
            <w:r>
              <w:rPr>
                <w:rFonts w:hint="eastAsia" w:ascii="宋体" w:hAnsi="宋体" w:eastAsia="宋体" w:cs="宋体"/>
                <w:color w:val="000000"/>
                <w:kern w:val="0"/>
                <w:sz w:val="21"/>
                <w:szCs w:val="21"/>
                <w:highlight w:val="none"/>
                <w:lang w:val="en-US" w:eastAsia="zh-CN" w:bidi="ar"/>
              </w:rPr>
              <w:t>3.</w:t>
            </w:r>
            <w:r>
              <w:rPr>
                <w:rFonts w:hint="eastAsia" w:cs="宋体"/>
                <w:color w:val="000000"/>
                <w:kern w:val="0"/>
                <w:sz w:val="21"/>
                <w:szCs w:val="21"/>
                <w:highlight w:val="none"/>
                <w:lang w:val="en-US" w:eastAsia="zh-CN" w:bidi="ar"/>
              </w:rPr>
              <w:t>三标段</w:t>
            </w:r>
            <w:r>
              <w:rPr>
                <w:rFonts w:hint="eastAsia" w:ascii="宋体" w:hAnsi="宋体" w:eastAsia="宋体" w:cs="宋体"/>
                <w:color w:val="000000"/>
                <w:kern w:val="0"/>
                <w:sz w:val="21"/>
                <w:szCs w:val="21"/>
                <w:highlight w:val="none"/>
                <w:lang w:val="en-US" w:eastAsia="zh-CN" w:bidi="ar"/>
              </w:rPr>
              <w:t>投标人应在“水利建设市场监管平台”建立信用档案，并完整填报相关信息，对于省内企业应在“辽宁省水利建设市场监管平台”建立信用档案，对于外省企业应在“水利建设市场监管平台”建立信用档案并在“信息申报入口”栏完整填报“外省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8" w:type="dxa"/>
            <w:noWrap w:val="0"/>
            <w:vAlign w:val="center"/>
          </w:tcPr>
          <w:p>
            <w:pPr>
              <w:pStyle w:val="139"/>
              <w:spacing w:before="212" w:line="221" w:lineRule="auto"/>
              <w:ind w:left="114"/>
              <w:jc w:val="both"/>
              <w:rPr>
                <w:color w:val="000000"/>
              </w:rPr>
            </w:pPr>
            <w:r>
              <w:rPr>
                <w:color w:val="000000"/>
                <w:spacing w:val="-2"/>
              </w:rPr>
              <w:t>招标人</w:t>
            </w:r>
          </w:p>
        </w:tc>
        <w:tc>
          <w:tcPr>
            <w:tcW w:w="3018" w:type="dxa"/>
            <w:noWrap w:val="0"/>
            <w:vAlign w:val="center"/>
          </w:tcPr>
          <w:p>
            <w:pPr>
              <w:pStyle w:val="139"/>
              <w:spacing w:before="56" w:line="247" w:lineRule="auto"/>
              <w:ind w:left="130" w:right="108" w:hanging="19"/>
              <w:jc w:val="both"/>
              <w:rPr>
                <w:color w:val="000000"/>
              </w:rPr>
            </w:pPr>
            <w:r>
              <w:rPr>
                <w:rFonts w:hint="eastAsia"/>
                <w:szCs w:val="21"/>
              </w:rPr>
              <w:t>大石桥市水利事务中心</w:t>
            </w:r>
          </w:p>
        </w:tc>
        <w:tc>
          <w:tcPr>
            <w:tcW w:w="1277" w:type="dxa"/>
            <w:gridSpan w:val="3"/>
            <w:noWrap w:val="0"/>
            <w:vAlign w:val="center"/>
          </w:tcPr>
          <w:p>
            <w:pPr>
              <w:pStyle w:val="139"/>
              <w:spacing w:before="212" w:line="230" w:lineRule="auto"/>
              <w:ind w:left="114"/>
              <w:jc w:val="both"/>
              <w:rPr>
                <w:color w:val="000000"/>
              </w:rPr>
            </w:pPr>
            <w:r>
              <w:rPr>
                <w:color w:val="000000"/>
                <w:spacing w:val="-2"/>
              </w:rPr>
              <w:t>地址</w:t>
            </w:r>
          </w:p>
        </w:tc>
        <w:tc>
          <w:tcPr>
            <w:tcW w:w="3022" w:type="dxa"/>
            <w:gridSpan w:val="5"/>
            <w:noWrap w:val="0"/>
            <w:vAlign w:val="center"/>
          </w:tcPr>
          <w:p>
            <w:pPr>
              <w:pStyle w:val="139"/>
              <w:spacing w:before="211" w:line="221" w:lineRule="auto"/>
              <w:ind w:left="115"/>
              <w:jc w:val="both"/>
              <w:rPr>
                <w:color w:val="000000"/>
              </w:rPr>
            </w:pPr>
            <w:r>
              <w:rPr>
                <w:rFonts w:hint="eastAsia"/>
                <w:szCs w:val="21"/>
              </w:rPr>
              <w:t>大石桥市哈大中路中段水利局三楼西侧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28" w:type="dxa"/>
            <w:noWrap w:val="0"/>
            <w:vAlign w:val="center"/>
          </w:tcPr>
          <w:p>
            <w:pPr>
              <w:pStyle w:val="139"/>
              <w:spacing w:before="56" w:line="220" w:lineRule="auto"/>
              <w:ind w:left="114"/>
              <w:jc w:val="both"/>
              <w:rPr>
                <w:color w:val="000000"/>
              </w:rPr>
            </w:pPr>
            <w:r>
              <w:rPr>
                <w:color w:val="000000"/>
                <w:spacing w:val="-2"/>
              </w:rPr>
              <w:t>联系人</w:t>
            </w:r>
          </w:p>
        </w:tc>
        <w:tc>
          <w:tcPr>
            <w:tcW w:w="3018" w:type="dxa"/>
            <w:noWrap w:val="0"/>
            <w:vAlign w:val="center"/>
          </w:tcPr>
          <w:p>
            <w:pPr>
              <w:adjustRightInd w:val="0"/>
              <w:snapToGrid w:val="0"/>
              <w:spacing w:line="460" w:lineRule="exact"/>
              <w:ind w:firstLine="210" w:firstLineChars="100"/>
              <w:jc w:val="both"/>
              <w:rPr>
                <w:color w:val="000000"/>
                <w:highlight w:val="none"/>
              </w:rPr>
            </w:pPr>
            <w:r>
              <w:rPr>
                <w:rFonts w:hint="eastAsia"/>
                <w:szCs w:val="21"/>
                <w:highlight w:val="none"/>
              </w:rPr>
              <w:t>殷先生</w:t>
            </w:r>
          </w:p>
        </w:tc>
        <w:tc>
          <w:tcPr>
            <w:tcW w:w="1277" w:type="dxa"/>
            <w:gridSpan w:val="3"/>
            <w:noWrap w:val="0"/>
            <w:vAlign w:val="center"/>
          </w:tcPr>
          <w:p>
            <w:pPr>
              <w:pStyle w:val="139"/>
              <w:spacing w:before="56" w:line="220" w:lineRule="auto"/>
              <w:ind w:left="138"/>
              <w:jc w:val="both"/>
              <w:rPr>
                <w:color w:val="000000"/>
                <w:highlight w:val="none"/>
              </w:rPr>
            </w:pPr>
            <w:r>
              <w:rPr>
                <w:color w:val="000000"/>
                <w:spacing w:val="-8"/>
                <w:highlight w:val="none"/>
              </w:rPr>
              <w:t>电话</w:t>
            </w:r>
          </w:p>
        </w:tc>
        <w:tc>
          <w:tcPr>
            <w:tcW w:w="3022" w:type="dxa"/>
            <w:gridSpan w:val="5"/>
            <w:noWrap w:val="0"/>
            <w:vAlign w:val="center"/>
          </w:tcPr>
          <w:p>
            <w:pPr>
              <w:spacing w:before="98" w:line="179" w:lineRule="auto"/>
              <w:ind w:left="116"/>
              <w:jc w:val="both"/>
              <w:rPr>
                <w:rFonts w:ascii="Calibri" w:hAnsi="Calibri" w:eastAsia="Calibri" w:cs="Calibri"/>
                <w:color w:val="000000"/>
                <w:sz w:val="21"/>
                <w:szCs w:val="21"/>
                <w:highlight w:val="none"/>
              </w:rPr>
            </w:pPr>
            <w:r>
              <w:rPr>
                <w:sz w:val="21"/>
                <w:szCs w:val="21"/>
                <w:highlight w:val="none"/>
              </w:rPr>
              <w:t>0417-5837772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528" w:type="dxa"/>
            <w:noWrap w:val="0"/>
            <w:vAlign w:val="center"/>
          </w:tcPr>
          <w:p>
            <w:pPr>
              <w:spacing w:line="298" w:lineRule="auto"/>
              <w:jc w:val="both"/>
              <w:rPr>
                <w:rFonts w:ascii="Arial"/>
                <w:color w:val="000000"/>
                <w:sz w:val="21"/>
              </w:rPr>
            </w:pPr>
          </w:p>
          <w:p>
            <w:pPr>
              <w:pStyle w:val="139"/>
              <w:spacing w:before="68" w:line="220" w:lineRule="auto"/>
              <w:ind w:left="114"/>
              <w:jc w:val="both"/>
              <w:rPr>
                <w:color w:val="000000"/>
              </w:rPr>
            </w:pPr>
            <w:r>
              <w:rPr>
                <w:color w:val="000000"/>
                <w:spacing w:val="-1"/>
              </w:rPr>
              <w:t>招标代理机构</w:t>
            </w:r>
          </w:p>
        </w:tc>
        <w:tc>
          <w:tcPr>
            <w:tcW w:w="3018" w:type="dxa"/>
            <w:noWrap w:val="0"/>
            <w:vAlign w:val="center"/>
          </w:tcPr>
          <w:p>
            <w:pPr>
              <w:pStyle w:val="139"/>
              <w:spacing w:before="213" w:line="248" w:lineRule="auto"/>
              <w:ind w:left="120" w:right="108" w:hanging="3"/>
              <w:jc w:val="both"/>
              <w:rPr>
                <w:color w:val="000000"/>
              </w:rPr>
            </w:pPr>
            <w:r>
              <w:rPr>
                <w:color w:val="000000"/>
                <w:spacing w:val="11"/>
              </w:rPr>
              <w:t>辽宁建鑫亿方项目管理有限公</w:t>
            </w:r>
            <w:r>
              <w:rPr>
                <w:color w:val="000000"/>
              </w:rPr>
              <w:t>司</w:t>
            </w:r>
          </w:p>
        </w:tc>
        <w:tc>
          <w:tcPr>
            <w:tcW w:w="1277" w:type="dxa"/>
            <w:gridSpan w:val="3"/>
            <w:noWrap w:val="0"/>
            <w:vAlign w:val="center"/>
          </w:tcPr>
          <w:p>
            <w:pPr>
              <w:spacing w:line="298" w:lineRule="auto"/>
              <w:jc w:val="both"/>
              <w:rPr>
                <w:rFonts w:ascii="Arial"/>
                <w:color w:val="000000"/>
                <w:sz w:val="21"/>
              </w:rPr>
            </w:pPr>
          </w:p>
          <w:p>
            <w:pPr>
              <w:pStyle w:val="139"/>
              <w:spacing w:before="68" w:line="230" w:lineRule="auto"/>
              <w:ind w:left="114"/>
              <w:jc w:val="both"/>
              <w:rPr>
                <w:color w:val="000000"/>
              </w:rPr>
            </w:pPr>
            <w:r>
              <w:rPr>
                <w:color w:val="000000"/>
                <w:spacing w:val="-2"/>
              </w:rPr>
              <w:t>地址</w:t>
            </w:r>
          </w:p>
        </w:tc>
        <w:tc>
          <w:tcPr>
            <w:tcW w:w="3022" w:type="dxa"/>
            <w:gridSpan w:val="5"/>
            <w:noWrap w:val="0"/>
            <w:vAlign w:val="center"/>
          </w:tcPr>
          <w:p>
            <w:pPr>
              <w:pStyle w:val="139"/>
              <w:spacing w:before="57" w:line="257" w:lineRule="auto"/>
              <w:ind w:left="120" w:right="106" w:hanging="2"/>
              <w:jc w:val="both"/>
              <w:rPr>
                <w:color w:val="000000"/>
              </w:rPr>
            </w:pPr>
            <w:r>
              <w:rPr>
                <w:color w:val="000000"/>
                <w:spacing w:val="-2"/>
              </w:rPr>
              <w:t>沈阳市铁西区建设东路</w:t>
            </w:r>
            <w:r>
              <w:rPr>
                <w:color w:val="000000"/>
                <w:spacing w:val="-46"/>
              </w:rPr>
              <w:t xml:space="preserve"> </w:t>
            </w:r>
            <w:r>
              <w:rPr>
                <w:rFonts w:ascii="Calibri" w:hAnsi="Calibri" w:eastAsia="Calibri" w:cs="Calibri"/>
                <w:color w:val="000000"/>
                <w:spacing w:val="-2"/>
              </w:rPr>
              <w:t>35</w:t>
            </w:r>
            <w:r>
              <w:rPr>
                <w:rFonts w:ascii="Calibri" w:hAnsi="Calibri" w:eastAsia="Calibri" w:cs="Calibri"/>
                <w:color w:val="000000"/>
              </w:rPr>
              <w:t xml:space="preserve"> </w:t>
            </w:r>
            <w:r>
              <w:rPr>
                <w:color w:val="000000"/>
                <w:spacing w:val="-2"/>
              </w:rPr>
              <w:t>号假日国际大厦</w:t>
            </w:r>
            <w:r>
              <w:rPr>
                <w:color w:val="000000"/>
                <w:spacing w:val="-59"/>
              </w:rPr>
              <w:t xml:space="preserve"> </w:t>
            </w:r>
            <w:r>
              <w:rPr>
                <w:rFonts w:ascii="Calibri" w:hAnsi="Calibri" w:eastAsia="Calibri" w:cs="Calibri"/>
                <w:color w:val="000000"/>
                <w:spacing w:val="-2"/>
              </w:rPr>
              <w:t xml:space="preserve">A </w:t>
            </w:r>
            <w:r>
              <w:rPr>
                <w:color w:val="000000"/>
                <w:spacing w:val="-2"/>
              </w:rPr>
              <w:t>座</w:t>
            </w:r>
            <w:r>
              <w:rPr>
                <w:color w:val="000000"/>
                <w:spacing w:val="-52"/>
              </w:rPr>
              <w:t xml:space="preserve"> </w:t>
            </w:r>
            <w:r>
              <w:rPr>
                <w:rFonts w:ascii="Calibri" w:hAnsi="Calibri" w:eastAsia="Calibri" w:cs="Calibri"/>
                <w:color w:val="000000"/>
                <w:spacing w:val="-2"/>
              </w:rPr>
              <w:t>2110</w:t>
            </w:r>
            <w:r>
              <w:rPr>
                <w:rFonts w:ascii="Calibri" w:hAnsi="Calibri" w:eastAsia="Calibri" w:cs="Calibri"/>
                <w:color w:val="000000"/>
              </w:rPr>
              <w:t xml:space="preserve"> </w:t>
            </w:r>
            <w:r>
              <w:rPr>
                <w:color w:val="000000"/>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528" w:type="dxa"/>
            <w:noWrap w:val="0"/>
            <w:vAlign w:val="center"/>
          </w:tcPr>
          <w:p>
            <w:pPr>
              <w:pStyle w:val="139"/>
              <w:spacing w:before="56" w:line="222" w:lineRule="auto"/>
              <w:ind w:left="114"/>
              <w:jc w:val="both"/>
              <w:rPr>
                <w:color w:val="000000"/>
              </w:rPr>
            </w:pPr>
            <w:r>
              <w:rPr>
                <w:color w:val="000000"/>
                <w:spacing w:val="-2"/>
              </w:rPr>
              <w:t>联系人</w:t>
            </w:r>
          </w:p>
        </w:tc>
        <w:tc>
          <w:tcPr>
            <w:tcW w:w="3018" w:type="dxa"/>
            <w:noWrap w:val="0"/>
            <w:vAlign w:val="center"/>
          </w:tcPr>
          <w:p>
            <w:pPr>
              <w:pStyle w:val="139"/>
              <w:spacing w:before="55" w:line="221" w:lineRule="auto"/>
              <w:ind w:left="113"/>
              <w:jc w:val="both"/>
              <w:rPr>
                <w:color w:val="000000"/>
              </w:rPr>
            </w:pPr>
            <w:r>
              <w:rPr>
                <w:color w:val="000000"/>
                <w:spacing w:val="-3"/>
              </w:rPr>
              <w:t>吴冬梅</w:t>
            </w:r>
          </w:p>
        </w:tc>
        <w:tc>
          <w:tcPr>
            <w:tcW w:w="1277" w:type="dxa"/>
            <w:gridSpan w:val="3"/>
            <w:noWrap w:val="0"/>
            <w:vAlign w:val="center"/>
          </w:tcPr>
          <w:p>
            <w:pPr>
              <w:pStyle w:val="139"/>
              <w:spacing w:before="56" w:line="222" w:lineRule="auto"/>
              <w:ind w:left="138"/>
              <w:jc w:val="both"/>
              <w:rPr>
                <w:color w:val="000000"/>
              </w:rPr>
            </w:pPr>
            <w:r>
              <w:rPr>
                <w:color w:val="000000"/>
                <w:spacing w:val="-8"/>
              </w:rPr>
              <w:t>电话</w:t>
            </w:r>
          </w:p>
        </w:tc>
        <w:tc>
          <w:tcPr>
            <w:tcW w:w="3022" w:type="dxa"/>
            <w:gridSpan w:val="5"/>
            <w:noWrap w:val="0"/>
            <w:vAlign w:val="center"/>
          </w:tcPr>
          <w:p>
            <w:pPr>
              <w:pStyle w:val="139"/>
              <w:spacing w:before="90" w:line="183" w:lineRule="auto"/>
              <w:ind w:left="117"/>
              <w:jc w:val="both"/>
              <w:rPr>
                <w:color w:val="000000"/>
              </w:rPr>
            </w:pPr>
            <w:r>
              <w:rPr>
                <w:color w:val="000000"/>
                <w:spacing w:val="-1"/>
              </w:rPr>
              <w:t>024-31084298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28" w:type="dxa"/>
            <w:noWrap w:val="0"/>
            <w:vAlign w:val="center"/>
          </w:tcPr>
          <w:p>
            <w:pPr>
              <w:pStyle w:val="139"/>
              <w:spacing w:before="54" w:line="221" w:lineRule="auto"/>
              <w:ind w:left="129"/>
              <w:jc w:val="both"/>
              <w:rPr>
                <w:color w:val="000000"/>
              </w:rPr>
            </w:pPr>
            <w:r>
              <w:rPr>
                <w:color w:val="000000"/>
                <w:spacing w:val="-6"/>
              </w:rPr>
              <w:t>邮箱</w:t>
            </w:r>
          </w:p>
        </w:tc>
        <w:tc>
          <w:tcPr>
            <w:tcW w:w="7317" w:type="dxa"/>
            <w:gridSpan w:val="9"/>
            <w:noWrap w:val="0"/>
            <w:vAlign w:val="center"/>
          </w:tcPr>
          <w:p>
            <w:pPr>
              <w:pStyle w:val="139"/>
              <w:spacing w:before="53" w:line="216" w:lineRule="auto"/>
              <w:ind w:left="124"/>
              <w:jc w:val="both"/>
              <w:rPr>
                <w:color w:val="000000"/>
              </w:rPr>
            </w:pPr>
            <w:r>
              <w:rPr>
                <w:color w:val="000000"/>
                <w:spacing w:val="-2"/>
              </w:rPr>
              <w:t>lnjxyf@163.com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28" w:type="dxa"/>
            <w:noWrap w:val="0"/>
            <w:vAlign w:val="center"/>
          </w:tcPr>
          <w:p>
            <w:pPr>
              <w:pStyle w:val="139"/>
              <w:spacing w:before="54" w:line="221" w:lineRule="auto"/>
              <w:ind w:left="129"/>
              <w:jc w:val="both"/>
              <w:rPr>
                <w:rFonts w:hint="eastAsia" w:eastAsia="宋体"/>
                <w:color w:val="000000"/>
                <w:spacing w:val="-6"/>
                <w:lang w:eastAsia="zh-CN"/>
              </w:rPr>
            </w:pPr>
            <w:r>
              <w:rPr>
                <w:rFonts w:hint="eastAsia"/>
                <w:color w:val="000000"/>
                <w:spacing w:val="-6"/>
                <w:lang w:eastAsia="zh-CN"/>
              </w:rPr>
              <w:t>异议联系人</w:t>
            </w:r>
          </w:p>
        </w:tc>
        <w:tc>
          <w:tcPr>
            <w:tcW w:w="3018" w:type="dxa"/>
            <w:noWrap w:val="0"/>
            <w:vAlign w:val="center"/>
          </w:tcPr>
          <w:p>
            <w:pPr>
              <w:pStyle w:val="139"/>
              <w:spacing w:before="53" w:line="216" w:lineRule="auto"/>
              <w:ind w:left="124"/>
              <w:jc w:val="both"/>
              <w:rPr>
                <w:color w:val="000000"/>
                <w:spacing w:val="-2"/>
              </w:rPr>
            </w:pPr>
            <w:r>
              <w:rPr>
                <w:rFonts w:hint="eastAsia"/>
                <w:szCs w:val="21"/>
                <w:highlight w:val="none"/>
              </w:rPr>
              <w:t>殷先生</w:t>
            </w:r>
          </w:p>
        </w:tc>
        <w:tc>
          <w:tcPr>
            <w:tcW w:w="1277" w:type="dxa"/>
            <w:gridSpan w:val="3"/>
            <w:noWrap w:val="0"/>
            <w:vAlign w:val="center"/>
          </w:tcPr>
          <w:p>
            <w:pPr>
              <w:pStyle w:val="139"/>
              <w:spacing w:before="53" w:line="216" w:lineRule="auto"/>
              <w:ind w:left="124"/>
              <w:jc w:val="both"/>
              <w:rPr>
                <w:rFonts w:hint="eastAsia" w:eastAsia="宋体"/>
                <w:color w:val="000000"/>
                <w:spacing w:val="-2"/>
                <w:lang w:eastAsia="zh-CN"/>
              </w:rPr>
            </w:pPr>
            <w:r>
              <w:rPr>
                <w:rFonts w:hint="eastAsia"/>
                <w:color w:val="000000"/>
                <w:spacing w:val="-2"/>
                <w:lang w:eastAsia="zh-CN"/>
              </w:rPr>
              <w:t>电话</w:t>
            </w:r>
          </w:p>
        </w:tc>
        <w:tc>
          <w:tcPr>
            <w:tcW w:w="3022" w:type="dxa"/>
            <w:gridSpan w:val="5"/>
            <w:noWrap w:val="0"/>
            <w:vAlign w:val="center"/>
          </w:tcPr>
          <w:p>
            <w:pPr>
              <w:pStyle w:val="139"/>
              <w:spacing w:before="53" w:line="216" w:lineRule="auto"/>
              <w:ind w:left="124"/>
              <w:jc w:val="both"/>
              <w:rPr>
                <w:color w:val="000000"/>
                <w:spacing w:val="-2"/>
              </w:rPr>
            </w:pPr>
            <w:r>
              <w:rPr>
                <w:sz w:val="21"/>
                <w:szCs w:val="21"/>
                <w:highlight w:val="none"/>
              </w:rPr>
              <w:t>0417-5837772</w:t>
            </w:r>
          </w:p>
        </w:tc>
      </w:tr>
    </w:tbl>
    <w:p>
      <w:pPr>
        <w:spacing w:line="400" w:lineRule="exact"/>
        <w:rPr>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80"/>
          <w:sz w:val="20"/>
          <w:szCs w:val="20"/>
          <w:highlight w:val="magenta"/>
        </w:rPr>
      </w:pPr>
      <w:bookmarkStart w:id="12" w:name="EB1da8b44805024ba19c6d7d530e4bfca8"/>
      <w:bookmarkEnd w:id="12"/>
    </w:p>
    <w:p>
      <w:pPr>
        <w:spacing w:line="400" w:lineRule="exact"/>
        <w:rPr>
          <w:rFonts w:ascii="Arial" w:hAnsi="Arial" w:eastAsia="黑体"/>
          <w:color w:val="000080"/>
          <w:sz w:val="20"/>
          <w:szCs w:val="20"/>
          <w:highlight w:val="magenta"/>
        </w:rPr>
      </w:pPr>
    </w:p>
    <w:p>
      <w:pPr>
        <w:spacing w:line="400" w:lineRule="exact"/>
        <w:rPr>
          <w:rFonts w:ascii="Arial" w:hAnsi="Arial" w:eastAsia="黑体"/>
          <w:color w:val="000080"/>
          <w:sz w:val="20"/>
          <w:szCs w:val="20"/>
          <w:highlight w:val="magenta"/>
        </w:rPr>
      </w:pPr>
    </w:p>
    <w:p>
      <w:pPr>
        <w:spacing w:line="400" w:lineRule="exact"/>
        <w:rPr>
          <w:rFonts w:ascii="Arial" w:hAnsi="Arial" w:eastAsia="黑体"/>
          <w:color w:val="000080"/>
          <w:sz w:val="20"/>
          <w:szCs w:val="20"/>
          <w:highlight w:val="magenta"/>
        </w:rPr>
      </w:pPr>
    </w:p>
    <w:p>
      <w:pPr>
        <w:rPr>
          <w:color w:val="000080"/>
          <w:sz w:val="20"/>
        </w:rPr>
      </w:pPr>
    </w:p>
    <w:p>
      <w:pPr>
        <w:rPr>
          <w:highlight w:val="magenta"/>
        </w:rPr>
      </w:pPr>
      <w:r>
        <w:rPr>
          <w:color w:val="000080"/>
          <w:sz w:val="20"/>
          <w:highlight w:val="white"/>
        </w:rPr>
        <w:br w:type="page"/>
      </w:r>
    </w:p>
    <w:p>
      <w:pPr>
        <w:pStyle w:val="2"/>
        <w:spacing w:before="120" w:after="120" w:line="400" w:lineRule="exact"/>
        <w:ind w:firstLine="2957" w:firstLineChars="950"/>
        <w:rPr>
          <w:rFonts w:ascii="黑体" w:hAnsi="黑体" w:eastAsia="黑体"/>
          <w:bCs w:val="0"/>
          <w:color w:val="000000"/>
          <w:sz w:val="31"/>
          <w:szCs w:val="31"/>
        </w:rPr>
      </w:pPr>
      <w:bookmarkStart w:id="13" w:name="_Toc256000004"/>
      <w:bookmarkStart w:id="14" w:name="_Toc49869966"/>
      <w:r>
        <w:rPr>
          <w:rFonts w:hint="eastAsia" w:ascii="黑体" w:hAnsi="黑体" w:eastAsia="黑体"/>
          <w:bCs w:val="0"/>
          <w:color w:val="000000"/>
          <w:sz w:val="31"/>
          <w:szCs w:val="31"/>
          <w:highlight w:val="white"/>
        </w:rPr>
        <w:t>第二章 投标人须知</w:t>
      </w:r>
      <w:bookmarkEnd w:id="13"/>
      <w:bookmarkEnd w:id="14"/>
    </w:p>
    <w:p>
      <w:pPr>
        <w:rPr>
          <w:highlight w:val="yellow"/>
        </w:rPr>
      </w:pPr>
      <w:bookmarkStart w:id="15" w:name="EB0c6c65492c334045bcdd1140c921593c"/>
      <w:bookmarkEnd w:id="15"/>
      <w:bookmarkStart w:id="16" w:name="EB795adfd018384f0884e1dea53eaf53c0"/>
      <w:bookmarkEnd w:id="16"/>
    </w:p>
    <w:p>
      <w:pPr>
        <w:spacing w:line="400" w:lineRule="exact"/>
        <w:jc w:val="center"/>
        <w:rPr>
          <w:rFonts w:ascii="黑体" w:hAnsi="黑体" w:eastAsia="黑体"/>
          <w:color w:val="000000"/>
          <w:sz w:val="27"/>
          <w:szCs w:val="27"/>
        </w:rPr>
      </w:pPr>
      <w:r>
        <w:rPr>
          <w:rFonts w:hint="eastAsia" w:ascii="黑体" w:hAnsi="黑体" w:eastAsia="黑体"/>
          <w:color w:val="000000"/>
          <w:sz w:val="27"/>
          <w:szCs w:val="27"/>
          <w:highlight w:val="white"/>
        </w:rPr>
        <w:t>投标人须知前附表</w:t>
      </w:r>
    </w:p>
    <w:p>
      <w:pPr>
        <w:adjustRightInd w:val="0"/>
        <w:spacing w:line="400" w:lineRule="exact"/>
        <w:textAlignment w:val="baseline"/>
        <w:rPr>
          <w:color w:val="000000"/>
          <w:sz w:val="20"/>
          <w:szCs w:val="20"/>
        </w:rPr>
      </w:pPr>
    </w:p>
    <w:tbl>
      <w:tblPr>
        <w:tblStyle w:val="36"/>
        <w:tblW w:w="5000" w:type="pct"/>
        <w:tblInd w:w="0" w:type="dxa"/>
        <w:tblLayout w:type="fixed"/>
        <w:tblCellMar>
          <w:top w:w="0" w:type="dxa"/>
          <w:left w:w="108" w:type="dxa"/>
          <w:bottom w:w="0" w:type="dxa"/>
          <w:right w:w="108" w:type="dxa"/>
        </w:tblCellMar>
      </w:tblPr>
      <w:tblGrid>
        <w:gridCol w:w="706"/>
        <w:gridCol w:w="2575"/>
        <w:gridCol w:w="6005"/>
      </w:tblGrid>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b/>
                <w:color w:val="000000"/>
                <w:szCs w:val="21"/>
              </w:rPr>
            </w:pPr>
            <w:r>
              <w:rPr>
                <w:b/>
                <w:color w:val="000000"/>
                <w:szCs w:val="21"/>
                <w:highlight w:val="white"/>
              </w:rPr>
              <w:t>条款号</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b/>
                <w:color w:val="000000"/>
                <w:szCs w:val="21"/>
              </w:rPr>
            </w:pPr>
            <w:r>
              <w:rPr>
                <w:b/>
                <w:color w:val="000000"/>
                <w:szCs w:val="21"/>
                <w:highlight w:val="white"/>
              </w:rPr>
              <w:t>条  款  名  称</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b/>
                <w:color w:val="000000"/>
                <w:szCs w:val="21"/>
              </w:rPr>
            </w:pPr>
            <w:r>
              <w:rPr>
                <w:b/>
                <w:color w:val="000000"/>
                <w:szCs w:val="21"/>
                <w:highlight w:val="white"/>
              </w:rPr>
              <w:t>编  列  内  容</w:t>
            </w:r>
          </w:p>
        </w:tc>
      </w:tr>
      <w:tr>
        <w:tblPrEx>
          <w:tblCellMar>
            <w:top w:w="0" w:type="dxa"/>
            <w:left w:w="108" w:type="dxa"/>
            <w:bottom w:w="0" w:type="dxa"/>
            <w:right w:w="108" w:type="dxa"/>
          </w:tblCellMar>
        </w:tblPrEx>
        <w:trPr>
          <w:trHeight w:val="31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1.1.2</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招标人</w:t>
            </w:r>
            <w:r>
              <w:rPr>
                <w:rFonts w:hint="eastAsia"/>
                <w:color w:val="000000"/>
                <w:szCs w:val="21"/>
                <w:highlight w:val="white"/>
              </w:rPr>
              <w:t xml:space="preserve"> </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green"/>
                <w:lang w:eastAsia="zh-CN"/>
              </w:rPr>
            </w:pPr>
            <w:bookmarkStart w:id="17" w:name="EBb1bf62badce7438b989d0070786a7a4c"/>
            <w:r>
              <w:rPr>
                <w:rFonts w:hint="eastAsia"/>
                <w:color w:val="auto"/>
                <w:szCs w:val="21"/>
                <w:highlight w:val="white"/>
              </w:rPr>
              <w:t>招标人：</w:t>
            </w:r>
            <w:r>
              <w:rPr>
                <w:rFonts w:hint="eastAsia"/>
                <w:color w:val="auto"/>
                <w:szCs w:val="21"/>
                <w:highlight w:val="white"/>
                <w:lang w:eastAsia="zh-CN"/>
              </w:rPr>
              <w:t>大石桥市水利事务中心</w:t>
            </w:r>
          </w:p>
          <w:p>
            <w:pPr>
              <w:spacing w:line="400" w:lineRule="exact"/>
              <w:rPr>
                <w:rFonts w:hint="eastAsia" w:eastAsia="宋体"/>
                <w:color w:val="auto"/>
                <w:szCs w:val="21"/>
                <w:highlight w:val="white"/>
                <w:lang w:eastAsia="zh-CN"/>
              </w:rPr>
            </w:pPr>
            <w:r>
              <w:rPr>
                <w:rFonts w:hint="eastAsia"/>
                <w:color w:val="auto"/>
                <w:szCs w:val="21"/>
                <w:highlight w:val="white"/>
              </w:rPr>
              <w:t>联系人：</w:t>
            </w:r>
            <w:r>
              <w:rPr>
                <w:rFonts w:hint="eastAsia"/>
                <w:color w:val="auto"/>
                <w:szCs w:val="21"/>
                <w:highlight w:val="white"/>
                <w:lang w:eastAsia="zh-CN"/>
              </w:rPr>
              <w:t>殷先生</w:t>
            </w:r>
          </w:p>
          <w:p>
            <w:pPr>
              <w:spacing w:line="400" w:lineRule="exact"/>
              <w:rPr>
                <w:rFonts w:hint="eastAsia" w:eastAsia="宋体"/>
                <w:color w:val="auto"/>
                <w:szCs w:val="21"/>
                <w:highlight w:val="white"/>
                <w:lang w:eastAsia="zh-CN"/>
              </w:rPr>
            </w:pPr>
            <w:r>
              <w:rPr>
                <w:rFonts w:hint="eastAsia"/>
                <w:color w:val="auto"/>
                <w:szCs w:val="21"/>
                <w:highlight w:val="white"/>
              </w:rPr>
              <w:t>联系电话：</w:t>
            </w:r>
            <w:bookmarkEnd w:id="17"/>
            <w:r>
              <w:rPr>
                <w:rFonts w:hint="eastAsia"/>
                <w:color w:val="auto"/>
                <w:szCs w:val="21"/>
                <w:highlight w:val="white"/>
                <w:lang w:eastAsia="zh-CN"/>
              </w:rPr>
              <w:t>0417-5837772</w:t>
            </w:r>
          </w:p>
        </w:tc>
      </w:tr>
      <w:tr>
        <w:tblPrEx>
          <w:tblCellMar>
            <w:top w:w="0" w:type="dxa"/>
            <w:left w:w="108" w:type="dxa"/>
            <w:bottom w:w="0" w:type="dxa"/>
            <w:right w:w="108" w:type="dxa"/>
          </w:tblCellMar>
        </w:tblPrEx>
        <w:trPr>
          <w:trHeight w:val="49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1.1.3</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招标代理机构</w:t>
            </w:r>
            <w:r>
              <w:rPr>
                <w:rFonts w:hint="eastAsia"/>
                <w:color w:val="000000"/>
                <w:szCs w:val="21"/>
                <w:highlight w:val="white"/>
              </w:rPr>
              <w:t xml:space="preserve"> </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green"/>
                <w:lang w:eastAsia="zh-CN"/>
              </w:rPr>
            </w:pPr>
            <w:bookmarkStart w:id="18" w:name="EBdc18a5b788474da0839ee74ee7c81638"/>
            <w:r>
              <w:rPr>
                <w:rFonts w:hint="eastAsia"/>
                <w:color w:val="auto"/>
                <w:szCs w:val="21"/>
                <w:highlight w:val="white"/>
              </w:rPr>
              <w:t>代理机构：</w:t>
            </w:r>
            <w:r>
              <w:rPr>
                <w:rFonts w:hint="eastAsia"/>
                <w:color w:val="auto"/>
                <w:szCs w:val="21"/>
                <w:highlight w:val="white"/>
                <w:lang w:eastAsia="zh-CN"/>
              </w:rPr>
              <w:t xml:space="preserve"> 辽宁建鑫亿方项目管理有限公司</w:t>
            </w:r>
          </w:p>
          <w:p>
            <w:pPr>
              <w:spacing w:line="400" w:lineRule="exact"/>
              <w:rPr>
                <w:rFonts w:hint="eastAsia" w:eastAsia="宋体"/>
                <w:color w:val="auto"/>
                <w:szCs w:val="21"/>
                <w:highlight w:val="white"/>
                <w:lang w:eastAsia="zh-CN"/>
              </w:rPr>
            </w:pPr>
            <w:r>
              <w:rPr>
                <w:rFonts w:hint="eastAsia"/>
                <w:color w:val="auto"/>
                <w:szCs w:val="21"/>
                <w:highlight w:val="white"/>
              </w:rPr>
              <w:t>地址：</w:t>
            </w:r>
            <w:r>
              <w:rPr>
                <w:rFonts w:hint="eastAsia"/>
                <w:color w:val="auto"/>
                <w:szCs w:val="21"/>
                <w:highlight w:val="white"/>
                <w:lang w:eastAsia="zh-CN"/>
              </w:rPr>
              <w:t>沈阳市铁西区建设东路35号假日国际大厦A座2110室</w:t>
            </w:r>
          </w:p>
          <w:p>
            <w:pPr>
              <w:spacing w:line="400" w:lineRule="exact"/>
              <w:rPr>
                <w:rFonts w:hint="eastAsia" w:eastAsia="宋体"/>
                <w:color w:val="auto"/>
                <w:szCs w:val="21"/>
                <w:highlight w:val="white"/>
                <w:lang w:eastAsia="zh-CN"/>
              </w:rPr>
            </w:pPr>
            <w:r>
              <w:rPr>
                <w:rFonts w:hint="eastAsia"/>
                <w:color w:val="auto"/>
                <w:szCs w:val="21"/>
                <w:highlight w:val="white"/>
              </w:rPr>
              <w:t>联系人：</w:t>
            </w:r>
            <w:r>
              <w:rPr>
                <w:rFonts w:hint="eastAsia"/>
                <w:color w:val="auto"/>
                <w:szCs w:val="21"/>
                <w:highlight w:val="white"/>
                <w:lang w:eastAsia="zh-CN"/>
              </w:rPr>
              <w:t>吴冬梅</w:t>
            </w:r>
          </w:p>
          <w:p>
            <w:pPr>
              <w:spacing w:line="400" w:lineRule="exact"/>
              <w:rPr>
                <w:rFonts w:hint="eastAsia" w:eastAsia="宋体"/>
                <w:color w:val="auto"/>
                <w:szCs w:val="21"/>
                <w:highlight w:val="white"/>
                <w:lang w:eastAsia="zh-CN"/>
              </w:rPr>
            </w:pPr>
            <w:r>
              <w:rPr>
                <w:rFonts w:hint="eastAsia"/>
                <w:color w:val="auto"/>
                <w:szCs w:val="21"/>
                <w:highlight w:val="white"/>
              </w:rPr>
              <w:t>联系电话：</w:t>
            </w:r>
            <w:r>
              <w:rPr>
                <w:rFonts w:hint="eastAsia"/>
                <w:color w:val="auto"/>
                <w:szCs w:val="21"/>
                <w:highlight w:val="white"/>
                <w:lang w:eastAsia="zh-CN"/>
              </w:rPr>
              <w:t>13840158909</w:t>
            </w:r>
          </w:p>
          <w:p>
            <w:pPr>
              <w:spacing w:line="400" w:lineRule="exact"/>
              <w:rPr>
                <w:rFonts w:hint="eastAsia" w:eastAsia="宋体"/>
                <w:color w:val="auto"/>
                <w:szCs w:val="21"/>
                <w:highlight w:val="white"/>
                <w:lang w:eastAsia="zh-CN"/>
              </w:rPr>
            </w:pPr>
            <w:r>
              <w:rPr>
                <w:rFonts w:hint="eastAsia"/>
                <w:color w:val="auto"/>
                <w:szCs w:val="21"/>
                <w:highlight w:val="white"/>
              </w:rPr>
              <w:t>邮箱：</w:t>
            </w:r>
            <w:bookmarkEnd w:id="18"/>
            <w:r>
              <w:rPr>
                <w:rFonts w:hint="eastAsia"/>
                <w:color w:val="auto"/>
                <w:szCs w:val="21"/>
                <w:highlight w:val="white"/>
                <w:lang w:val="en-US" w:eastAsia="zh-CN"/>
              </w:rPr>
              <w:t>lnjxyf</w:t>
            </w:r>
            <w:r>
              <w:rPr>
                <w:rFonts w:hint="eastAsia"/>
                <w:color w:val="auto"/>
                <w:szCs w:val="21"/>
                <w:highlight w:val="white"/>
                <w:lang w:eastAsia="zh-CN"/>
              </w:rPr>
              <w:t>@163.com</w:t>
            </w:r>
          </w:p>
        </w:tc>
      </w:tr>
      <w:tr>
        <w:tblPrEx>
          <w:tblCellMar>
            <w:top w:w="0" w:type="dxa"/>
            <w:left w:w="108" w:type="dxa"/>
            <w:bottom w:w="0" w:type="dxa"/>
            <w:right w:w="108" w:type="dxa"/>
          </w:tblCellMar>
        </w:tblPrEx>
        <w:trPr>
          <w:trHeight w:val="45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1.1.4</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项目名称</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green"/>
                <w:lang w:eastAsia="zh-CN"/>
              </w:rPr>
            </w:pPr>
            <w:bookmarkStart w:id="19" w:name="EB2133f920aa8e413eb9b263827fc9f539"/>
            <w:r>
              <w:rPr>
                <w:rFonts w:hint="eastAsia"/>
                <w:color w:val="auto"/>
                <w:szCs w:val="21"/>
                <w:highlight w:val="white"/>
              </w:rPr>
              <w:t>项目名称：</w:t>
            </w:r>
            <w:r>
              <w:rPr>
                <w:rFonts w:hint="eastAsia"/>
                <w:color w:val="auto"/>
                <w:szCs w:val="21"/>
                <w:highlight w:val="white"/>
                <w:lang w:eastAsia="zh-CN"/>
              </w:rPr>
              <w:t>大石桥市2024年第一批中央水库移民后期扶持资金项目</w:t>
            </w:r>
          </w:p>
          <w:p>
            <w:pPr>
              <w:spacing w:line="400" w:lineRule="exact"/>
              <w:rPr>
                <w:color w:val="auto"/>
                <w:szCs w:val="21"/>
                <w:highlight w:val="white"/>
              </w:rPr>
            </w:pPr>
            <w:r>
              <w:rPr>
                <w:rFonts w:hint="eastAsia"/>
                <w:color w:val="auto"/>
                <w:szCs w:val="21"/>
                <w:highlight w:val="white"/>
              </w:rPr>
              <w:t>标段名称：</w:t>
            </w:r>
            <w:bookmarkEnd w:id="19"/>
            <w:r>
              <w:rPr>
                <w:rFonts w:hint="eastAsia"/>
                <w:color w:val="auto"/>
                <w:szCs w:val="21"/>
                <w:highlight w:val="white"/>
                <w:lang w:eastAsia="zh-CN"/>
              </w:rPr>
              <w:t>大石桥市2024年第一批中央水库移民后期扶持资金项目三标段</w:t>
            </w:r>
          </w:p>
        </w:tc>
      </w:tr>
      <w:tr>
        <w:tblPrEx>
          <w:tblCellMar>
            <w:top w:w="0" w:type="dxa"/>
            <w:left w:w="108" w:type="dxa"/>
            <w:bottom w:w="0" w:type="dxa"/>
            <w:right w:w="108" w:type="dxa"/>
          </w:tblCellMar>
        </w:tblPrEx>
        <w:trPr>
          <w:trHeight w:val="46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1.1.5</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建设地点</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green"/>
                <w:lang w:eastAsia="zh-CN"/>
              </w:rPr>
            </w:pPr>
            <w:r>
              <w:rPr>
                <w:rFonts w:hint="eastAsia"/>
                <w:color w:val="auto"/>
                <w:szCs w:val="21"/>
                <w:highlight w:val="white"/>
                <w:lang w:eastAsia="zh-CN"/>
              </w:rPr>
              <w:t>大石桥市境内</w:t>
            </w:r>
          </w:p>
        </w:tc>
      </w:tr>
      <w:tr>
        <w:tblPrEx>
          <w:tblCellMar>
            <w:top w:w="0" w:type="dxa"/>
            <w:left w:w="108" w:type="dxa"/>
            <w:bottom w:w="0" w:type="dxa"/>
            <w:right w:w="108" w:type="dxa"/>
          </w:tblCellMar>
        </w:tblPrEx>
        <w:trPr>
          <w:trHeight w:val="43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1.1.6</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现场管理机构</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000000"/>
                <w:szCs w:val="21"/>
                <w:highlight w:val="green"/>
                <w:lang w:eastAsia="zh-CN"/>
              </w:rPr>
            </w:pPr>
            <w:r>
              <w:rPr>
                <w:rFonts w:hint="eastAsia"/>
                <w:szCs w:val="21"/>
                <w:lang w:eastAsia="zh-CN"/>
              </w:rPr>
              <w:t>大石桥市水利事务中心</w:t>
            </w:r>
          </w:p>
        </w:tc>
      </w:tr>
      <w:tr>
        <w:tblPrEx>
          <w:tblCellMar>
            <w:top w:w="0" w:type="dxa"/>
            <w:left w:w="108" w:type="dxa"/>
            <w:bottom w:w="0" w:type="dxa"/>
            <w:right w:w="108" w:type="dxa"/>
          </w:tblCellMar>
        </w:tblPrEx>
        <w:trPr>
          <w:trHeight w:val="43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1.1.7</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设计人</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000000"/>
                <w:szCs w:val="21"/>
                <w:highlight w:val="green"/>
                <w:lang w:eastAsia="zh-CN"/>
              </w:rPr>
            </w:pPr>
            <w:r>
              <w:rPr>
                <w:rFonts w:hint="eastAsia" w:eastAsia="宋体"/>
                <w:lang w:val="en-US" w:eastAsia="zh-CN"/>
              </w:rPr>
              <w:t>辽宁天阳工阳技术咨询服务有限公司</w:t>
            </w:r>
          </w:p>
        </w:tc>
      </w:tr>
      <w:tr>
        <w:tblPrEx>
          <w:tblCellMar>
            <w:top w:w="0" w:type="dxa"/>
            <w:left w:w="108" w:type="dxa"/>
            <w:bottom w:w="0" w:type="dxa"/>
            <w:right w:w="108" w:type="dxa"/>
          </w:tblCellMar>
        </w:tblPrEx>
        <w:trPr>
          <w:trHeight w:val="45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1.1.8</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监理人</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val="en-US" w:eastAsia="zh-CN"/>
              </w:rPr>
            </w:pPr>
            <w:bookmarkStart w:id="20" w:name="EBb10bcffdc53b4d9e81bb060758de1355"/>
            <w:bookmarkEnd w:id="20"/>
            <w:r>
              <w:rPr>
                <w:rFonts w:hint="eastAsia"/>
                <w:color w:val="auto"/>
                <w:szCs w:val="21"/>
                <w:highlight w:val="none"/>
                <w:lang w:val="en-US" w:eastAsia="zh-CN"/>
              </w:rPr>
              <w:t>/</w:t>
            </w:r>
          </w:p>
        </w:tc>
      </w:tr>
      <w:tr>
        <w:tblPrEx>
          <w:tblCellMar>
            <w:top w:w="0" w:type="dxa"/>
            <w:left w:w="108" w:type="dxa"/>
            <w:bottom w:w="0" w:type="dxa"/>
            <w:right w:w="108" w:type="dxa"/>
          </w:tblCellMar>
        </w:tblPrEx>
        <w:trPr>
          <w:trHeight w:val="31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1.1.9</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代建机构</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val="en-US" w:eastAsia="zh-CN"/>
              </w:rPr>
            </w:pPr>
            <w:bookmarkStart w:id="21" w:name="EB4766f2a545fb4a0d9588125f1971b564"/>
            <w:bookmarkEnd w:id="21"/>
            <w:r>
              <w:rPr>
                <w:rFonts w:hint="eastAsia"/>
                <w:color w:val="auto"/>
                <w:szCs w:val="21"/>
                <w:highlight w:val="none"/>
                <w:lang w:val="en-US" w:eastAsia="zh-CN"/>
              </w:rPr>
              <w:t>/</w:t>
            </w:r>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1.2.1</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资金来源</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highlight w:val="green"/>
              </w:rPr>
            </w:pPr>
            <w:r>
              <w:rPr>
                <w:rFonts w:hint="eastAsia" w:ascii="Times New Roman" w:hAnsi="Times New Roman" w:eastAsia="宋体"/>
                <w:color w:val="000000"/>
                <w:sz w:val="21"/>
                <w:szCs w:val="21"/>
                <w:highlight w:val="none"/>
                <w:lang w:val="en-US" w:eastAsia="zh-CN"/>
              </w:rPr>
              <w:t>本项目总投资</w:t>
            </w:r>
            <w:r>
              <w:rPr>
                <w:rFonts w:hint="eastAsia"/>
                <w:color w:val="000000"/>
                <w:spacing w:val="-6"/>
                <w:highlight w:val="none"/>
                <w:lang w:val="en-US" w:eastAsia="zh-CN"/>
              </w:rPr>
              <w:t xml:space="preserve">    </w:t>
            </w:r>
            <w:r>
              <w:rPr>
                <w:rFonts w:hint="eastAsia" w:ascii="Times New Roman" w:hAnsi="Times New Roman" w:eastAsia="宋体"/>
                <w:color w:val="000000"/>
                <w:sz w:val="21"/>
                <w:szCs w:val="21"/>
                <w:highlight w:val="none"/>
                <w:lang w:val="en-US" w:eastAsia="zh-CN"/>
              </w:rPr>
              <w:t>万元，</w:t>
            </w:r>
            <w:r>
              <w:rPr>
                <w:rFonts w:hint="eastAsia"/>
                <w:szCs w:val="21"/>
                <w:highlight w:val="none"/>
              </w:rPr>
              <w:t>中央水库移民资金</w:t>
            </w:r>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1.2.2</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出资比例</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bookmarkStart w:id="22" w:name="EBf61b7816821346cc9a4dbfd6d2329daf"/>
            <w:r>
              <w:rPr>
                <w:color w:val="auto"/>
                <w:szCs w:val="21"/>
                <w:highlight w:val="white"/>
              </w:rPr>
              <w:t>100%</w:t>
            </w:r>
            <w:bookmarkEnd w:id="22"/>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1.2.3</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资金</w:t>
            </w:r>
            <w:r>
              <w:rPr>
                <w:color w:val="000000"/>
                <w:szCs w:val="21"/>
                <w:highlight w:val="white"/>
              </w:rPr>
              <w:t>落实情况</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bookmarkStart w:id="23" w:name="EB39886f0d54f0498f8324d72d94e084f3"/>
            <w:r>
              <w:rPr>
                <w:color w:val="auto"/>
                <w:szCs w:val="21"/>
                <w:highlight w:val="white"/>
              </w:rPr>
              <w:t>已落实</w:t>
            </w:r>
            <w:bookmarkEnd w:id="23"/>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w:t>
            </w:r>
            <w:r>
              <w:rPr>
                <w:rFonts w:hint="eastAsia"/>
                <w:color w:val="000000"/>
                <w:szCs w:val="21"/>
                <w:highlight w:val="white"/>
              </w:rPr>
              <w:t>3</w:t>
            </w:r>
            <w:r>
              <w:rPr>
                <w:color w:val="000000"/>
                <w:szCs w:val="21"/>
                <w:highlight w:val="white"/>
              </w:rPr>
              <w:t>.1</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highlight w:val="none"/>
              </w:rPr>
            </w:pPr>
            <w:r>
              <w:rPr>
                <w:color w:val="000000"/>
                <w:szCs w:val="21"/>
                <w:highlight w:val="none"/>
              </w:rPr>
              <w:t>招标范围</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highlight w:val="none"/>
              </w:rPr>
            </w:pPr>
            <w:r>
              <w:rPr>
                <w:rFonts w:hint="eastAsia" w:ascii="Times New Roman" w:hAnsi="Times New Roman" w:cs="Times New Roman"/>
                <w:b w:val="0"/>
                <w:bCs w:val="0"/>
                <w:color w:val="000000"/>
                <w:kern w:val="2"/>
                <w:sz w:val="21"/>
                <w:szCs w:val="21"/>
                <w:highlight w:val="none"/>
                <w:lang w:val="en-US" w:eastAsia="zh-CN"/>
              </w:rPr>
              <w:t>大石桥市官屯镇石硼峪村、何屯村，黄土岭镇黄土岭村，汤池镇高士沟村，周家镇大沟村、车家村4个镇，6个行政村共修浆砌石挡墙护坡2495m，新修截潜坝一座，浆砌石路边沟425m，∮600过路涵11座</w:t>
            </w:r>
            <w:r>
              <w:rPr>
                <w:rFonts w:hint="eastAsia" w:eastAsia="宋体" w:cs="Times New Roman"/>
                <w:color w:val="0000FF"/>
                <w:szCs w:val="21"/>
                <w:highlight w:val="none"/>
                <w:lang w:eastAsia="zh-CN"/>
              </w:rPr>
              <w:t>。</w:t>
            </w:r>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1.3.2</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计划工期</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eastAsia="zh-CN"/>
              </w:rPr>
            </w:pPr>
            <w:r>
              <w:rPr>
                <w:color w:val="auto"/>
                <w:szCs w:val="21"/>
                <w:highlight w:val="none"/>
              </w:rPr>
              <w:t>计划工期：</w:t>
            </w:r>
            <w:r>
              <w:rPr>
                <w:rFonts w:hint="eastAsia"/>
                <w:color w:val="auto"/>
                <w:szCs w:val="21"/>
                <w:highlight w:val="none"/>
                <w:lang w:val="en-US" w:eastAsia="zh-CN"/>
              </w:rPr>
              <w:t>/</w:t>
            </w:r>
            <w:r>
              <w:rPr>
                <w:rFonts w:hint="eastAsia"/>
                <w:color w:val="auto"/>
                <w:szCs w:val="21"/>
                <w:highlight w:val="none"/>
                <w:lang w:eastAsia="zh-CN"/>
              </w:rPr>
              <w:t>日历天</w:t>
            </w:r>
          </w:p>
          <w:p>
            <w:pPr>
              <w:spacing w:line="400" w:lineRule="exact"/>
              <w:rPr>
                <w:rFonts w:hint="eastAsia" w:eastAsia="宋体"/>
                <w:color w:val="auto"/>
                <w:szCs w:val="21"/>
                <w:highlight w:val="none"/>
                <w:lang w:eastAsia="zh-CN"/>
              </w:rPr>
            </w:pPr>
            <w:r>
              <w:rPr>
                <w:color w:val="auto"/>
                <w:szCs w:val="21"/>
                <w:highlight w:val="none"/>
              </w:rPr>
              <w:t>计划开工日期：</w:t>
            </w:r>
            <w:r>
              <w:rPr>
                <w:rFonts w:hint="eastAsia"/>
                <w:color w:val="auto"/>
                <w:szCs w:val="21"/>
                <w:highlight w:val="none"/>
                <w:lang w:eastAsia="zh-CN"/>
              </w:rPr>
              <w:t>2024年</w:t>
            </w:r>
            <w:r>
              <w:rPr>
                <w:rFonts w:hint="eastAsia"/>
                <w:color w:val="auto"/>
                <w:szCs w:val="21"/>
                <w:highlight w:val="none"/>
                <w:lang w:val="en-US" w:eastAsia="zh-CN"/>
              </w:rPr>
              <w:t>/</w:t>
            </w:r>
            <w:r>
              <w:rPr>
                <w:rFonts w:hint="eastAsia"/>
                <w:color w:val="auto"/>
                <w:szCs w:val="21"/>
                <w:highlight w:val="none"/>
                <w:lang w:eastAsia="zh-CN"/>
              </w:rPr>
              <w:t>月</w:t>
            </w:r>
            <w:r>
              <w:rPr>
                <w:rFonts w:hint="eastAsia"/>
                <w:color w:val="auto"/>
                <w:szCs w:val="21"/>
                <w:highlight w:val="none"/>
                <w:lang w:val="en-US" w:eastAsia="zh-CN"/>
              </w:rPr>
              <w:t>/</w:t>
            </w:r>
            <w:r>
              <w:rPr>
                <w:rFonts w:hint="eastAsia"/>
                <w:color w:val="auto"/>
                <w:szCs w:val="21"/>
                <w:highlight w:val="none"/>
                <w:lang w:eastAsia="zh-CN"/>
              </w:rPr>
              <w:t>日</w:t>
            </w:r>
          </w:p>
          <w:p>
            <w:pPr>
              <w:spacing w:line="400" w:lineRule="exact"/>
              <w:rPr>
                <w:rFonts w:hint="eastAsia" w:eastAsia="宋体"/>
                <w:color w:val="auto"/>
                <w:szCs w:val="21"/>
                <w:highlight w:val="none"/>
                <w:lang w:eastAsia="zh-CN"/>
              </w:rPr>
            </w:pPr>
            <w:r>
              <w:rPr>
                <w:color w:val="auto"/>
                <w:szCs w:val="21"/>
                <w:highlight w:val="none"/>
              </w:rPr>
              <w:t>计划</w:t>
            </w:r>
            <w:r>
              <w:rPr>
                <w:rFonts w:hint="eastAsia"/>
                <w:color w:val="auto"/>
                <w:szCs w:val="21"/>
                <w:highlight w:val="none"/>
              </w:rPr>
              <w:t>竣工</w:t>
            </w:r>
            <w:r>
              <w:rPr>
                <w:color w:val="auto"/>
                <w:szCs w:val="21"/>
                <w:highlight w:val="none"/>
              </w:rPr>
              <w:t>日期：</w:t>
            </w:r>
            <w:r>
              <w:rPr>
                <w:rFonts w:hint="eastAsia"/>
                <w:color w:val="auto"/>
                <w:szCs w:val="21"/>
                <w:highlight w:val="none"/>
                <w:lang w:eastAsia="zh-CN"/>
              </w:rPr>
              <w:t>2024年</w:t>
            </w:r>
            <w:r>
              <w:rPr>
                <w:rFonts w:hint="eastAsia"/>
                <w:color w:val="auto"/>
                <w:szCs w:val="21"/>
                <w:highlight w:val="none"/>
                <w:lang w:val="en-US" w:eastAsia="zh-CN"/>
              </w:rPr>
              <w:t>/</w:t>
            </w:r>
            <w:r>
              <w:rPr>
                <w:rFonts w:hint="eastAsia"/>
                <w:color w:val="auto"/>
                <w:szCs w:val="21"/>
                <w:highlight w:val="none"/>
                <w:lang w:eastAsia="zh-CN"/>
              </w:rPr>
              <w:t>月</w:t>
            </w:r>
            <w:r>
              <w:rPr>
                <w:rFonts w:hint="eastAsia"/>
                <w:color w:val="auto"/>
                <w:szCs w:val="21"/>
                <w:highlight w:val="none"/>
                <w:lang w:val="en-US" w:eastAsia="zh-CN"/>
              </w:rPr>
              <w:t>/</w:t>
            </w:r>
            <w:r>
              <w:rPr>
                <w:rFonts w:hint="eastAsia"/>
                <w:color w:val="auto"/>
                <w:szCs w:val="21"/>
                <w:highlight w:val="none"/>
                <w:lang w:eastAsia="zh-CN"/>
              </w:rPr>
              <w:t>日</w:t>
            </w:r>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1.3.3</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质量要求</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bookmarkStart w:id="24" w:name="EB9ba36bcf50134d7fa3736c252f194c6a"/>
            <w:r>
              <w:rPr>
                <w:rFonts w:hint="eastAsia"/>
                <w:color w:val="auto"/>
                <w:szCs w:val="21"/>
                <w:highlight w:val="none"/>
              </w:rPr>
              <w:t>合格</w:t>
            </w:r>
            <w:r>
              <w:rPr>
                <w:color w:val="auto"/>
                <w:szCs w:val="21"/>
                <w:highlight w:val="none"/>
              </w:rPr>
              <w:t>。</w:t>
            </w:r>
            <w:bookmarkEnd w:id="24"/>
          </w:p>
        </w:tc>
      </w:tr>
      <w:tr>
        <w:tblPrEx>
          <w:tblCellMar>
            <w:top w:w="0" w:type="dxa"/>
            <w:left w:w="108" w:type="dxa"/>
            <w:bottom w:w="0" w:type="dxa"/>
            <w:right w:w="108" w:type="dxa"/>
          </w:tblCellMar>
        </w:tblPrEx>
        <w:trPr>
          <w:trHeight w:val="255" w:hRule="atLeast"/>
        </w:trPr>
        <w:tc>
          <w:tcPr>
            <w:tcW w:w="380" w:type="pct"/>
            <w:vMerge w:val="restart"/>
            <w:tcBorders>
              <w:top w:val="single" w:color="auto" w:sz="4" w:space="0"/>
              <w:left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1.4.1</w:t>
            </w:r>
          </w:p>
        </w:tc>
        <w:tc>
          <w:tcPr>
            <w:tcW w:w="1386" w:type="pct"/>
            <w:vMerge w:val="restart"/>
            <w:tcBorders>
              <w:top w:val="single" w:color="auto" w:sz="4" w:space="0"/>
              <w:left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投标人资质条件、能力、信誉</w:t>
            </w:r>
          </w:p>
        </w:tc>
        <w:tc>
          <w:tcPr>
            <w:tcW w:w="3233" w:type="pct"/>
            <w:tcBorders>
              <w:top w:val="single" w:color="auto" w:sz="4" w:space="0"/>
              <w:left w:val="single" w:color="auto" w:sz="4" w:space="0"/>
              <w:bottom w:val="single" w:color="auto" w:sz="4" w:space="0"/>
              <w:right w:val="single" w:color="auto" w:sz="4" w:space="0"/>
            </w:tcBorders>
            <w:vAlign w:val="center"/>
          </w:tcPr>
          <w:p>
            <w:pPr>
              <w:pStyle w:val="14"/>
              <w:topLinePunct/>
              <w:spacing w:line="400" w:lineRule="exact"/>
              <w:rPr>
                <w:rFonts w:hint="eastAsia" w:ascii="Times New Roman"/>
                <w:color w:val="auto"/>
                <w:sz w:val="21"/>
                <w:szCs w:val="21"/>
                <w:highlight w:val="none"/>
              </w:rPr>
            </w:pPr>
            <w:r>
              <w:rPr>
                <w:rFonts w:hint="eastAsia" w:ascii="Times New Roman"/>
                <w:color w:val="auto"/>
                <w:sz w:val="21"/>
                <w:szCs w:val="21"/>
                <w:highlight w:val="none"/>
              </w:rPr>
              <w:t>资质要求：水利水电工程施工总承包叁级资质（含叁级）及以上资质，并在人员、设备、资金等方面具有相应的施工能力</w:t>
            </w:r>
          </w:p>
          <w:p>
            <w:pPr>
              <w:pStyle w:val="14"/>
              <w:topLinePunct/>
              <w:spacing w:line="400" w:lineRule="exact"/>
              <w:rPr>
                <w:rFonts w:hint="eastAsia" w:ascii="Times New Roman"/>
                <w:color w:val="auto"/>
                <w:sz w:val="21"/>
                <w:szCs w:val="21"/>
                <w:highlight w:val="none"/>
              </w:rPr>
            </w:pPr>
            <w:r>
              <w:rPr>
                <w:rFonts w:hint="eastAsia"/>
                <w:color w:val="auto"/>
                <w:sz w:val="21"/>
                <w:szCs w:val="21"/>
                <w:highlight w:val="none"/>
              </w:rPr>
              <w:t>投标人所附的所有人员应是本企业的在职（注册）人员。投标文件中需提供上述人员的执业证书、劳动合同、社会保险证明等证明材料。</w:t>
            </w:r>
          </w:p>
        </w:tc>
      </w:tr>
      <w:tr>
        <w:tblPrEx>
          <w:tblCellMar>
            <w:top w:w="0" w:type="dxa"/>
            <w:left w:w="108" w:type="dxa"/>
            <w:bottom w:w="0" w:type="dxa"/>
            <w:right w:w="108" w:type="dxa"/>
          </w:tblCellMar>
        </w:tblPrEx>
        <w:trPr>
          <w:trHeight w:val="255" w:hRule="atLeast"/>
        </w:trPr>
        <w:tc>
          <w:tcPr>
            <w:tcW w:w="380" w:type="pct"/>
            <w:vMerge w:val="continue"/>
            <w:tcBorders>
              <w:left w:val="single" w:color="auto" w:sz="4" w:space="0"/>
              <w:right w:val="single" w:color="auto" w:sz="4" w:space="0"/>
            </w:tcBorders>
            <w:vAlign w:val="center"/>
          </w:tcPr>
          <w:p>
            <w:pPr>
              <w:spacing w:line="400" w:lineRule="exact"/>
              <w:rPr>
                <w:color w:val="000000"/>
                <w:szCs w:val="21"/>
              </w:rPr>
            </w:pPr>
          </w:p>
        </w:tc>
        <w:tc>
          <w:tcPr>
            <w:tcW w:w="1386" w:type="pct"/>
            <w:vMerge w:val="continue"/>
            <w:tcBorders>
              <w:left w:val="single" w:color="auto" w:sz="4" w:space="0"/>
              <w:right w:val="single" w:color="auto" w:sz="4" w:space="0"/>
            </w:tcBorders>
            <w:vAlign w:val="center"/>
          </w:tcPr>
          <w:p>
            <w:pPr>
              <w:spacing w:line="400" w:lineRule="exact"/>
              <w:rPr>
                <w:color w:val="000000"/>
                <w:szCs w:val="21"/>
              </w:rPr>
            </w:pP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财务要求：</w:t>
            </w:r>
            <w:bookmarkStart w:id="25" w:name="EB729d97c3fbbd4ca584d9639da7856f2c"/>
            <w:r>
              <w:rPr>
                <w:color w:val="auto"/>
                <w:szCs w:val="21"/>
                <w:highlight w:val="white"/>
              </w:rPr>
              <w:t>无</w:t>
            </w:r>
            <w:bookmarkEnd w:id="25"/>
          </w:p>
        </w:tc>
      </w:tr>
      <w:tr>
        <w:tblPrEx>
          <w:tblCellMar>
            <w:top w:w="0" w:type="dxa"/>
            <w:left w:w="108" w:type="dxa"/>
            <w:bottom w:w="0" w:type="dxa"/>
            <w:right w:w="108" w:type="dxa"/>
          </w:tblCellMar>
        </w:tblPrEx>
        <w:trPr>
          <w:trHeight w:val="270" w:hRule="atLeast"/>
        </w:trPr>
        <w:tc>
          <w:tcPr>
            <w:tcW w:w="380" w:type="pct"/>
            <w:vMerge w:val="continue"/>
            <w:tcBorders>
              <w:left w:val="single" w:color="auto" w:sz="4" w:space="0"/>
              <w:right w:val="single" w:color="auto" w:sz="4" w:space="0"/>
            </w:tcBorders>
            <w:vAlign w:val="center"/>
          </w:tcPr>
          <w:p>
            <w:pPr>
              <w:spacing w:line="400" w:lineRule="exact"/>
              <w:rPr>
                <w:color w:val="000000"/>
                <w:szCs w:val="21"/>
              </w:rPr>
            </w:pPr>
          </w:p>
        </w:tc>
        <w:tc>
          <w:tcPr>
            <w:tcW w:w="1386" w:type="pct"/>
            <w:vMerge w:val="continue"/>
            <w:tcBorders>
              <w:left w:val="single" w:color="auto" w:sz="4" w:space="0"/>
              <w:right w:val="single" w:color="auto" w:sz="4" w:space="0"/>
            </w:tcBorders>
            <w:vAlign w:val="center"/>
          </w:tcPr>
          <w:p>
            <w:pPr>
              <w:spacing w:line="400" w:lineRule="exact"/>
              <w:rPr>
                <w:color w:val="000000"/>
                <w:szCs w:val="21"/>
              </w:rPr>
            </w:pP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业绩要求：</w:t>
            </w:r>
            <w:bookmarkStart w:id="26" w:name="EB8e9f34dd8df84eeca5abee06765ccc73"/>
            <w:r>
              <w:rPr>
                <w:color w:val="auto"/>
                <w:szCs w:val="21"/>
                <w:highlight w:val="white"/>
              </w:rPr>
              <w:t>无</w:t>
            </w:r>
            <w:bookmarkEnd w:id="26"/>
          </w:p>
        </w:tc>
      </w:tr>
      <w:tr>
        <w:tblPrEx>
          <w:tblCellMar>
            <w:top w:w="0" w:type="dxa"/>
            <w:left w:w="108" w:type="dxa"/>
            <w:bottom w:w="0" w:type="dxa"/>
            <w:right w:w="108" w:type="dxa"/>
          </w:tblCellMar>
        </w:tblPrEx>
        <w:trPr>
          <w:trHeight w:val="150" w:hRule="atLeast"/>
        </w:trPr>
        <w:tc>
          <w:tcPr>
            <w:tcW w:w="380" w:type="pct"/>
            <w:vMerge w:val="continue"/>
            <w:tcBorders>
              <w:left w:val="single" w:color="auto" w:sz="4" w:space="0"/>
              <w:right w:val="single" w:color="auto" w:sz="4" w:space="0"/>
            </w:tcBorders>
            <w:vAlign w:val="center"/>
          </w:tcPr>
          <w:p>
            <w:pPr>
              <w:spacing w:line="400" w:lineRule="exact"/>
              <w:rPr>
                <w:color w:val="000000"/>
                <w:szCs w:val="21"/>
              </w:rPr>
            </w:pPr>
          </w:p>
        </w:tc>
        <w:tc>
          <w:tcPr>
            <w:tcW w:w="1386" w:type="pct"/>
            <w:vMerge w:val="continue"/>
            <w:tcBorders>
              <w:left w:val="single" w:color="auto" w:sz="4" w:space="0"/>
              <w:right w:val="single" w:color="auto" w:sz="4" w:space="0"/>
            </w:tcBorders>
            <w:vAlign w:val="center"/>
          </w:tcPr>
          <w:p>
            <w:pPr>
              <w:spacing w:line="400" w:lineRule="exact"/>
              <w:rPr>
                <w:color w:val="000000"/>
                <w:szCs w:val="21"/>
              </w:rPr>
            </w:pP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信誉要求：</w:t>
            </w:r>
            <w:bookmarkStart w:id="27" w:name="EBe723f04592694dde8fe87e777415996c"/>
            <w:r>
              <w:rPr>
                <w:rFonts w:hint="eastAsia"/>
                <w:color w:val="auto"/>
                <w:szCs w:val="21"/>
                <w:highlight w:val="white"/>
              </w:rPr>
              <w:t>1）投标人应在“水利建设市场监管平台”建立信用档案,并完整填报相关信息。对于省内企业应在“辽宁省水利建设市场监管平台”建立信用档案,对于外省企业应在“水利建设市场监管平台”建立信用档案并在“信息申报入口”栏完整填报“外省信息”。2）凡被“水利建设市场监管平台”、“信用辽宁”、“信用中国”列入失信黑名单和“辽宁省水利建设市场监管平台”公告禁止参与投标的市场主体不得参加本工程投标。</w:t>
            </w:r>
            <w:bookmarkEnd w:id="27"/>
          </w:p>
        </w:tc>
      </w:tr>
      <w:tr>
        <w:tblPrEx>
          <w:tblCellMar>
            <w:top w:w="0" w:type="dxa"/>
            <w:left w:w="108" w:type="dxa"/>
            <w:bottom w:w="0" w:type="dxa"/>
            <w:right w:w="108" w:type="dxa"/>
          </w:tblCellMar>
        </w:tblPrEx>
        <w:trPr>
          <w:trHeight w:val="135" w:hRule="atLeast"/>
        </w:trPr>
        <w:tc>
          <w:tcPr>
            <w:tcW w:w="380" w:type="pct"/>
            <w:vMerge w:val="continue"/>
            <w:tcBorders>
              <w:left w:val="single" w:color="auto" w:sz="4" w:space="0"/>
              <w:right w:val="single" w:color="auto" w:sz="4" w:space="0"/>
            </w:tcBorders>
            <w:vAlign w:val="center"/>
          </w:tcPr>
          <w:p>
            <w:pPr>
              <w:spacing w:line="400" w:lineRule="exact"/>
              <w:rPr>
                <w:color w:val="000000"/>
                <w:szCs w:val="21"/>
              </w:rPr>
            </w:pPr>
          </w:p>
        </w:tc>
        <w:tc>
          <w:tcPr>
            <w:tcW w:w="1386" w:type="pct"/>
            <w:vMerge w:val="continue"/>
            <w:tcBorders>
              <w:left w:val="single" w:color="auto" w:sz="4" w:space="0"/>
              <w:right w:val="single" w:color="auto" w:sz="4" w:space="0"/>
            </w:tcBorders>
            <w:vAlign w:val="center"/>
          </w:tcPr>
          <w:p>
            <w:pPr>
              <w:spacing w:line="400" w:lineRule="exact"/>
              <w:rPr>
                <w:color w:val="000000"/>
                <w:szCs w:val="21"/>
              </w:rPr>
            </w:pP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eastAsia="宋体" w:cs="Times New Roman"/>
                <w:color w:val="0000FF"/>
                <w:sz w:val="21"/>
                <w:szCs w:val="21"/>
                <w:highlight w:val="white"/>
                <w:lang w:eastAsia="zh-CN"/>
              </w:rPr>
            </w:pPr>
            <w:r>
              <w:rPr>
                <w:rFonts w:hint="eastAsia"/>
                <w:color w:val="000000"/>
                <w:szCs w:val="21"/>
                <w:highlight w:val="white"/>
              </w:rPr>
              <w:t>项目经理（建造师，下同）资格：</w:t>
            </w:r>
            <w:r>
              <w:rPr>
                <w:rStyle w:val="40"/>
                <w:rFonts w:ascii="宋体" w:hAnsi="宋体" w:eastAsia="宋体" w:cs="宋体"/>
                <w:b w:val="0"/>
                <w:sz w:val="21"/>
                <w:szCs w:val="24"/>
              </w:rPr>
              <w:t>具备水利水电工程专业二级及以上注册建造师资格，具有水行政主管部门核发的B类安全生产考核合格证书，且为本投标单位正式员工，无在建项目.（提供有效的相关证书及无在建项目承诺函）</w:t>
            </w:r>
          </w:p>
        </w:tc>
      </w:tr>
      <w:tr>
        <w:tblPrEx>
          <w:tblCellMar>
            <w:top w:w="0" w:type="dxa"/>
            <w:left w:w="108" w:type="dxa"/>
            <w:bottom w:w="0" w:type="dxa"/>
            <w:right w:w="108" w:type="dxa"/>
          </w:tblCellMar>
        </w:tblPrEx>
        <w:trPr>
          <w:trHeight w:val="135" w:hRule="atLeast"/>
        </w:trPr>
        <w:tc>
          <w:tcPr>
            <w:tcW w:w="380" w:type="pct"/>
            <w:vMerge w:val="continue"/>
            <w:tcBorders>
              <w:left w:val="single" w:color="auto" w:sz="4" w:space="0"/>
              <w:right w:val="single" w:color="auto" w:sz="4" w:space="0"/>
            </w:tcBorders>
            <w:vAlign w:val="center"/>
          </w:tcPr>
          <w:p>
            <w:pPr>
              <w:spacing w:line="400" w:lineRule="exact"/>
              <w:rPr>
                <w:color w:val="000000"/>
                <w:szCs w:val="21"/>
              </w:rPr>
            </w:pPr>
          </w:p>
        </w:tc>
        <w:tc>
          <w:tcPr>
            <w:tcW w:w="1386" w:type="pct"/>
            <w:vMerge w:val="continue"/>
            <w:tcBorders>
              <w:left w:val="single" w:color="auto" w:sz="4" w:space="0"/>
              <w:right w:val="single" w:color="auto" w:sz="4" w:space="0"/>
            </w:tcBorders>
            <w:vAlign w:val="center"/>
          </w:tcPr>
          <w:p>
            <w:pPr>
              <w:spacing w:line="400" w:lineRule="exact"/>
              <w:rPr>
                <w:color w:val="000000"/>
                <w:szCs w:val="21"/>
              </w:rPr>
            </w:pP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技术负责人资格：</w:t>
            </w:r>
            <w:bookmarkStart w:id="28" w:name="EBd5c97b8477cd46acbda0fa210c3800db"/>
            <w:bookmarkEnd w:id="28"/>
            <w:r>
              <w:rPr>
                <w:rFonts w:hint="eastAsia"/>
                <w:color w:val="000000"/>
                <w:szCs w:val="21"/>
                <w:highlight w:val="white"/>
              </w:rPr>
              <w:t>具有水利行业中级及以上职称</w:t>
            </w:r>
          </w:p>
        </w:tc>
      </w:tr>
      <w:tr>
        <w:tblPrEx>
          <w:tblCellMar>
            <w:top w:w="0" w:type="dxa"/>
            <w:left w:w="108" w:type="dxa"/>
            <w:bottom w:w="0" w:type="dxa"/>
            <w:right w:w="108" w:type="dxa"/>
          </w:tblCellMar>
        </w:tblPrEx>
        <w:trPr>
          <w:trHeight w:val="300" w:hRule="atLeast"/>
        </w:trPr>
        <w:tc>
          <w:tcPr>
            <w:tcW w:w="380" w:type="pct"/>
            <w:vMerge w:val="continue"/>
            <w:tcBorders>
              <w:left w:val="single" w:color="auto" w:sz="4" w:space="0"/>
              <w:bottom w:val="single" w:color="auto" w:sz="4" w:space="0"/>
              <w:right w:val="single" w:color="auto" w:sz="4" w:space="0"/>
            </w:tcBorders>
            <w:vAlign w:val="center"/>
          </w:tcPr>
          <w:p>
            <w:pPr>
              <w:spacing w:line="400" w:lineRule="exact"/>
              <w:rPr>
                <w:color w:val="000000"/>
                <w:szCs w:val="21"/>
              </w:rPr>
            </w:pPr>
          </w:p>
        </w:tc>
        <w:tc>
          <w:tcPr>
            <w:tcW w:w="1386" w:type="pct"/>
            <w:vMerge w:val="continue"/>
            <w:tcBorders>
              <w:left w:val="single" w:color="auto" w:sz="4" w:space="0"/>
              <w:bottom w:val="single" w:color="auto" w:sz="4" w:space="0"/>
              <w:right w:val="single" w:color="auto" w:sz="4" w:space="0"/>
            </w:tcBorders>
            <w:vAlign w:val="center"/>
          </w:tcPr>
          <w:p>
            <w:pPr>
              <w:spacing w:line="400" w:lineRule="exact"/>
              <w:rPr>
                <w:color w:val="000000"/>
                <w:szCs w:val="21"/>
              </w:rPr>
            </w:pP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Cs w:val="21"/>
                <w:highlight w:val="white"/>
              </w:rPr>
            </w:pPr>
            <w:r>
              <w:rPr>
                <w:rFonts w:hint="eastAsia"/>
                <w:color w:val="000000"/>
                <w:szCs w:val="21"/>
                <w:highlight w:val="white"/>
              </w:rPr>
              <w:t>其他要求：</w:t>
            </w:r>
            <w:bookmarkStart w:id="29" w:name="EB856e2b99bc484ac49e67c62879e8adee"/>
          </w:p>
          <w:p>
            <w:pPr>
              <w:tabs>
                <w:tab w:val="left" w:pos="634"/>
              </w:tabs>
              <w:autoSpaceDE w:val="0"/>
              <w:autoSpaceDN w:val="0"/>
              <w:spacing w:line="360" w:lineRule="auto"/>
              <w:ind w:right="84"/>
              <w:rPr>
                <w:rFonts w:ascii="宋体" w:hAnsi="宋体" w:cs="宋体"/>
                <w:szCs w:val="21"/>
                <w:lang w:val="zh-CN"/>
              </w:rPr>
            </w:pPr>
            <w:r>
              <w:rPr>
                <w:rFonts w:hint="eastAsia" w:ascii="宋体" w:hAnsi="宋体" w:cs="宋体"/>
                <w:szCs w:val="21"/>
                <w:lang w:val="zh-CN"/>
              </w:rPr>
              <w:t>a、企业主要负责人具有有效的安全生产考核合格证书（水利行业A证）。</w:t>
            </w:r>
          </w:p>
          <w:p>
            <w:pPr>
              <w:tabs>
                <w:tab w:val="left" w:pos="634"/>
              </w:tabs>
              <w:autoSpaceDE w:val="0"/>
              <w:autoSpaceDN w:val="0"/>
              <w:spacing w:line="360" w:lineRule="auto"/>
              <w:ind w:right="84"/>
              <w:rPr>
                <w:rFonts w:ascii="宋体" w:hAnsi="宋体" w:cs="宋体"/>
                <w:szCs w:val="21"/>
                <w:lang w:val="zh-CN"/>
              </w:rPr>
            </w:pPr>
            <w:r>
              <w:rPr>
                <w:rFonts w:hint="eastAsia" w:ascii="宋体" w:hAnsi="宋体" w:cs="宋体"/>
                <w:szCs w:val="21"/>
                <w:lang w:val="zh-CN"/>
              </w:rPr>
              <w:t>b、安全员须持证上岗（水利）,</w:t>
            </w:r>
            <w:r>
              <w:rPr>
                <w:rFonts w:hint="eastAsia" w:ascii="宋体" w:hAnsi="宋体" w:cs="宋体"/>
                <w:szCs w:val="21"/>
              </w:rPr>
              <w:t>其中专职安全生产管理人员具备有效的安全生产考核合格证书（水利行业C证）。</w:t>
            </w:r>
          </w:p>
          <w:p>
            <w:pPr>
              <w:tabs>
                <w:tab w:val="left" w:pos="634"/>
              </w:tabs>
              <w:autoSpaceDE w:val="0"/>
              <w:autoSpaceDN w:val="0"/>
              <w:spacing w:line="360" w:lineRule="auto"/>
              <w:ind w:right="84"/>
              <w:rPr>
                <w:rFonts w:ascii="宋体" w:hAnsi="宋体" w:cs="宋体"/>
                <w:szCs w:val="21"/>
              </w:rPr>
            </w:pPr>
            <w:r>
              <w:rPr>
                <w:rFonts w:hint="eastAsia" w:ascii="宋体" w:hAnsi="宋体" w:cs="宋体"/>
                <w:szCs w:val="21"/>
                <w:lang w:val="zh-CN"/>
              </w:rPr>
              <w:t>c、</w:t>
            </w:r>
            <w:r>
              <w:rPr>
                <w:rFonts w:hint="eastAsia" w:ascii="宋体" w:hAnsi="宋体" w:cs="宋体"/>
                <w:szCs w:val="21"/>
              </w:rPr>
              <w:t>项目管理人员须是专职人员。</w:t>
            </w:r>
          </w:p>
          <w:p>
            <w:pPr>
              <w:tabs>
                <w:tab w:val="left" w:pos="634"/>
              </w:tabs>
              <w:autoSpaceDE w:val="0"/>
              <w:autoSpaceDN w:val="0"/>
              <w:spacing w:line="360" w:lineRule="auto"/>
              <w:ind w:right="84"/>
              <w:rPr>
                <w:rFonts w:ascii="宋体" w:hAnsi="宋体" w:cs="宋体"/>
                <w:szCs w:val="21"/>
                <w:lang w:val="zh-CN"/>
              </w:rPr>
            </w:pPr>
            <w:r>
              <w:rPr>
                <w:rFonts w:hint="eastAsia" w:ascii="宋体" w:hAnsi="宋体" w:cs="宋体"/>
                <w:szCs w:val="21"/>
                <w:lang w:val="zh-CN"/>
              </w:rPr>
              <w:t>d、</w:t>
            </w:r>
            <w:r>
              <w:rPr>
                <w:rFonts w:ascii="宋体" w:hAnsi="宋体" w:cs="宋体"/>
                <w:szCs w:val="21"/>
              </w:rPr>
              <w:t>投标人授权的委托代理人应具有与投标人单位签订的</w:t>
            </w:r>
            <w:r>
              <w:rPr>
                <w:rFonts w:hint="eastAsia" w:ascii="宋体" w:hAnsi="宋体" w:cs="宋体"/>
                <w:szCs w:val="21"/>
              </w:rPr>
              <w:t>1</w:t>
            </w:r>
            <w:r>
              <w:rPr>
                <w:rFonts w:ascii="宋体" w:hAnsi="宋体" w:cs="宋体"/>
                <w:szCs w:val="21"/>
              </w:rPr>
              <w:t>年以上（含1年）的劳动合同或社会养老保险关系证明</w:t>
            </w:r>
            <w:r>
              <w:rPr>
                <w:rFonts w:hint="eastAsia" w:ascii="宋体" w:hAnsi="宋体" w:cs="宋体"/>
                <w:szCs w:val="21"/>
              </w:rPr>
              <w:t>。</w:t>
            </w:r>
          </w:p>
          <w:p>
            <w:pPr>
              <w:tabs>
                <w:tab w:val="left" w:pos="634"/>
              </w:tabs>
              <w:autoSpaceDE w:val="0"/>
              <w:autoSpaceDN w:val="0"/>
              <w:spacing w:line="360" w:lineRule="auto"/>
              <w:ind w:right="84"/>
              <w:rPr>
                <w:rFonts w:hint="eastAsia" w:ascii="宋体" w:hAnsi="宋体" w:cs="宋体"/>
                <w:szCs w:val="21"/>
              </w:rPr>
            </w:pPr>
            <w:r>
              <w:rPr>
                <w:rFonts w:hint="eastAsia" w:ascii="宋体" w:hAnsi="宋体" w:cs="宋体"/>
                <w:szCs w:val="21"/>
                <w:lang w:val="zh-CN"/>
              </w:rPr>
              <w:t>e、</w:t>
            </w:r>
            <w:r>
              <w:rPr>
                <w:rFonts w:hint="eastAsia" w:ascii="宋体" w:hAnsi="宋体" w:cs="宋体"/>
                <w:szCs w:val="21"/>
              </w:rPr>
              <w:t>投标人在招投标过程中所提供的资料必须保证真实有效,如提供虚假资料自行承担一切责任。</w:t>
            </w:r>
            <w:bookmarkEnd w:id="29"/>
          </w:p>
          <w:p>
            <w:pPr>
              <w:tabs>
                <w:tab w:val="left" w:pos="634"/>
              </w:tabs>
              <w:autoSpaceDE w:val="0"/>
              <w:autoSpaceDN w:val="0"/>
              <w:spacing w:line="360" w:lineRule="auto"/>
              <w:ind w:right="84"/>
              <w:rPr>
                <w:rFonts w:hint="eastAsia" w:ascii="宋体" w:hAnsi="宋体" w:cs="宋体"/>
                <w:szCs w:val="21"/>
              </w:rPr>
            </w:pPr>
            <w:r>
              <w:rPr>
                <w:rFonts w:hint="eastAsia"/>
                <w:color w:val="auto"/>
                <w:szCs w:val="21"/>
                <w:highlight w:val="white"/>
              </w:rPr>
              <w:t>注：投标人须附在全国水利建设市场监管服务平台登记公示的资质、信用记录和项目负责人、技术负责人及其他主要人员资格、职称等信息截图。</w:t>
            </w:r>
          </w:p>
        </w:tc>
      </w:tr>
      <w:tr>
        <w:tblPrEx>
          <w:tblCellMar>
            <w:top w:w="0" w:type="dxa"/>
            <w:left w:w="108" w:type="dxa"/>
            <w:bottom w:w="0" w:type="dxa"/>
            <w:right w:w="108" w:type="dxa"/>
          </w:tblCellMar>
        </w:tblPrEx>
        <w:trPr>
          <w:trHeight w:val="45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1.4.2</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是否接受联合体投标</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bookmarkStart w:id="30" w:name="EB8a1c7af526cc4e59affd3f373dbb67ae"/>
            <w:r>
              <w:rPr>
                <w:rFonts w:hint="eastAsia" w:ascii="宋体" w:hAnsi="宋体"/>
                <w:color w:val="auto"/>
                <w:szCs w:val="21"/>
                <w:highlight w:val="white"/>
              </w:rPr>
              <w:t>☑</w:t>
            </w:r>
            <w:bookmarkEnd w:id="30"/>
            <w:r>
              <w:rPr>
                <w:rFonts w:hint="eastAsia" w:ascii="宋体" w:hAnsi="宋体"/>
                <w:color w:val="auto"/>
                <w:szCs w:val="21"/>
                <w:highlight w:val="white"/>
              </w:rPr>
              <w:t>不接受</w:t>
            </w:r>
          </w:p>
          <w:p>
            <w:pPr>
              <w:spacing w:line="400" w:lineRule="exact"/>
              <w:rPr>
                <w:color w:val="auto"/>
                <w:szCs w:val="21"/>
              </w:rPr>
            </w:pPr>
            <w:bookmarkStart w:id="31" w:name="EB4143c3ffbae4432f9461537b07fb9c49"/>
            <w:r>
              <w:rPr>
                <w:rFonts w:hint="eastAsia" w:ascii="宋体" w:hAnsi="宋体"/>
                <w:color w:val="auto"/>
                <w:szCs w:val="21"/>
                <w:highlight w:val="white"/>
              </w:rPr>
              <w:t>□</w:t>
            </w:r>
            <w:bookmarkEnd w:id="31"/>
            <w:r>
              <w:rPr>
                <w:rFonts w:hint="eastAsia" w:ascii="宋体" w:hAnsi="宋体"/>
                <w:color w:val="auto"/>
                <w:szCs w:val="21"/>
                <w:highlight w:val="white"/>
              </w:rPr>
              <w:t>接受，应满足下列要求：</w:t>
            </w:r>
            <w:bookmarkStart w:id="32" w:name="EB124aed33c4b84b2481cef1dc603014d3"/>
            <w:bookmarkEnd w:id="32"/>
          </w:p>
        </w:tc>
      </w:tr>
      <w:tr>
        <w:tblPrEx>
          <w:tblCellMar>
            <w:top w:w="0" w:type="dxa"/>
            <w:left w:w="108" w:type="dxa"/>
            <w:bottom w:w="0" w:type="dxa"/>
            <w:right w:w="108" w:type="dxa"/>
          </w:tblCellMar>
        </w:tblPrEx>
        <w:trPr>
          <w:trHeight w:val="45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1.9</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踏勘现场</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bookmarkStart w:id="33" w:name="EBa6483f525e23454f8d345417c2c992e1"/>
            <w:r>
              <w:rPr>
                <w:rFonts w:hint="eastAsia" w:ascii="宋体" w:hAnsi="宋体"/>
                <w:color w:val="auto"/>
                <w:szCs w:val="21"/>
                <w:highlight w:val="white"/>
              </w:rPr>
              <w:t>□</w:t>
            </w:r>
            <w:bookmarkEnd w:id="33"/>
            <w:r>
              <w:rPr>
                <w:rFonts w:hint="eastAsia" w:ascii="宋体" w:hAnsi="宋体"/>
                <w:color w:val="auto"/>
                <w:szCs w:val="21"/>
                <w:highlight w:val="white"/>
              </w:rPr>
              <w:t>组织</w:t>
            </w:r>
          </w:p>
          <w:p>
            <w:pPr>
              <w:spacing w:line="400" w:lineRule="exact"/>
              <w:rPr>
                <w:color w:val="auto"/>
                <w:szCs w:val="21"/>
              </w:rPr>
            </w:pPr>
            <w:bookmarkStart w:id="34" w:name="EBaadfada53c54437f8aa575c3413f92cc"/>
            <w:r>
              <w:rPr>
                <w:rFonts w:hint="eastAsia"/>
                <w:color w:val="auto"/>
                <w:szCs w:val="21"/>
                <w:highlight w:val="white"/>
              </w:rPr>
              <w:t>☑</w:t>
            </w:r>
            <w:bookmarkEnd w:id="34"/>
            <w:r>
              <w:rPr>
                <w:rFonts w:hint="eastAsia"/>
                <w:color w:val="auto"/>
                <w:szCs w:val="21"/>
                <w:highlight w:val="white"/>
              </w:rPr>
              <w:t>不组织</w:t>
            </w:r>
          </w:p>
        </w:tc>
      </w:tr>
      <w:tr>
        <w:tblPrEx>
          <w:tblCellMar>
            <w:top w:w="0" w:type="dxa"/>
            <w:left w:w="108" w:type="dxa"/>
            <w:bottom w:w="0" w:type="dxa"/>
            <w:right w:w="108" w:type="dxa"/>
          </w:tblCellMar>
        </w:tblPrEx>
        <w:trPr>
          <w:trHeight w:val="45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1.10</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招标预备会</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bookmarkStart w:id="35" w:name="EBa8a50ca2615e4561807077f299f83a9f"/>
            <w:r>
              <w:rPr>
                <w:rFonts w:hint="eastAsia" w:ascii="宋体" w:hAnsi="宋体"/>
                <w:color w:val="auto"/>
                <w:szCs w:val="21"/>
                <w:highlight w:val="white"/>
              </w:rPr>
              <w:t>□</w:t>
            </w:r>
            <w:bookmarkEnd w:id="35"/>
            <w:r>
              <w:rPr>
                <w:rFonts w:hint="eastAsia" w:ascii="宋体" w:hAnsi="宋体"/>
                <w:color w:val="auto"/>
                <w:szCs w:val="21"/>
                <w:highlight w:val="white"/>
              </w:rPr>
              <w:t>召开</w:t>
            </w:r>
          </w:p>
          <w:p>
            <w:pPr>
              <w:spacing w:line="400" w:lineRule="exact"/>
              <w:rPr>
                <w:color w:val="auto"/>
                <w:szCs w:val="21"/>
              </w:rPr>
            </w:pPr>
            <w:bookmarkStart w:id="36" w:name="EB27c7da6764e841e5838d41be7108b633"/>
            <w:r>
              <w:rPr>
                <w:rFonts w:hint="eastAsia"/>
                <w:color w:val="auto"/>
                <w:szCs w:val="21"/>
                <w:highlight w:val="white"/>
              </w:rPr>
              <w:t>☑</w:t>
            </w:r>
            <w:bookmarkEnd w:id="36"/>
            <w:r>
              <w:rPr>
                <w:rFonts w:hint="eastAsia"/>
                <w:color w:val="auto"/>
                <w:szCs w:val="21"/>
                <w:highlight w:val="white"/>
              </w:rPr>
              <w:t>不召开</w:t>
            </w:r>
          </w:p>
        </w:tc>
      </w:tr>
      <w:tr>
        <w:tblPrEx>
          <w:tblCellMar>
            <w:top w:w="0" w:type="dxa"/>
            <w:left w:w="108" w:type="dxa"/>
            <w:bottom w:w="0" w:type="dxa"/>
            <w:right w:w="108" w:type="dxa"/>
          </w:tblCellMar>
        </w:tblPrEx>
        <w:trPr>
          <w:trHeight w:val="45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1.10.3</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投标截止时间</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green"/>
                <w:lang w:eastAsia="zh-CN"/>
              </w:rPr>
            </w:pPr>
            <w:bookmarkStart w:id="37" w:name="EB4fd8b2ebb89d4aa5835b4f8174756346"/>
            <w:r>
              <w:rPr>
                <w:rFonts w:hint="eastAsia"/>
                <w:color w:val="auto"/>
                <w:szCs w:val="21"/>
                <w:highlight w:val="white"/>
                <w:lang w:eastAsia="zh-CN"/>
              </w:rPr>
              <w:t>2024年</w:t>
            </w:r>
            <w:r>
              <w:rPr>
                <w:rFonts w:hint="eastAsia"/>
                <w:color w:val="auto"/>
                <w:szCs w:val="21"/>
                <w:highlight w:val="white"/>
                <w:lang w:val="en-US" w:eastAsia="zh-CN"/>
              </w:rPr>
              <w:t>/</w:t>
            </w:r>
            <w:r>
              <w:rPr>
                <w:rFonts w:hint="eastAsia"/>
                <w:color w:val="auto"/>
                <w:szCs w:val="21"/>
                <w:highlight w:val="white"/>
                <w:lang w:eastAsia="zh-CN"/>
              </w:rPr>
              <w:t>月</w:t>
            </w:r>
            <w:r>
              <w:rPr>
                <w:rFonts w:hint="eastAsia"/>
                <w:color w:val="auto"/>
                <w:szCs w:val="21"/>
                <w:highlight w:val="white"/>
                <w:lang w:val="en-US" w:eastAsia="zh-CN"/>
              </w:rPr>
              <w:t>/</w:t>
            </w:r>
            <w:r>
              <w:rPr>
                <w:rFonts w:hint="eastAsia"/>
                <w:color w:val="auto"/>
                <w:szCs w:val="21"/>
                <w:highlight w:val="white"/>
                <w:lang w:eastAsia="zh-CN"/>
              </w:rPr>
              <w:t>日</w:t>
            </w:r>
            <w:r>
              <w:rPr>
                <w:color w:val="auto"/>
                <w:szCs w:val="21"/>
                <w:highlight w:val="white"/>
              </w:rPr>
              <w:t xml:space="preserve"> </w:t>
            </w:r>
            <w:bookmarkEnd w:id="37"/>
            <w:r>
              <w:rPr>
                <w:rFonts w:hint="eastAsia"/>
                <w:color w:val="auto"/>
                <w:szCs w:val="21"/>
                <w:highlight w:val="white"/>
                <w:lang w:val="en-US" w:eastAsia="zh-CN"/>
              </w:rPr>
              <w:t>09</w:t>
            </w:r>
            <w:r>
              <w:rPr>
                <w:rFonts w:hint="eastAsia"/>
                <w:color w:val="auto"/>
                <w:szCs w:val="21"/>
                <w:highlight w:val="white"/>
                <w:lang w:eastAsia="zh-CN"/>
              </w:rPr>
              <w:t>:</w:t>
            </w:r>
            <w:r>
              <w:rPr>
                <w:rFonts w:hint="eastAsia"/>
                <w:color w:val="auto"/>
                <w:szCs w:val="21"/>
                <w:highlight w:val="white"/>
                <w:lang w:val="en-US" w:eastAsia="zh-CN"/>
              </w:rPr>
              <w:t>3</w:t>
            </w:r>
            <w:r>
              <w:rPr>
                <w:rFonts w:hint="eastAsia"/>
                <w:color w:val="auto"/>
                <w:szCs w:val="21"/>
                <w:highlight w:val="white"/>
                <w:lang w:eastAsia="zh-CN"/>
              </w:rPr>
              <w:t>0</w:t>
            </w:r>
          </w:p>
        </w:tc>
      </w:tr>
      <w:tr>
        <w:tblPrEx>
          <w:tblCellMar>
            <w:top w:w="0" w:type="dxa"/>
            <w:left w:w="108" w:type="dxa"/>
            <w:bottom w:w="0" w:type="dxa"/>
            <w:right w:w="108" w:type="dxa"/>
          </w:tblCellMar>
        </w:tblPrEx>
        <w:trPr>
          <w:trHeight w:val="45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1.1</w:t>
            </w:r>
            <w:r>
              <w:rPr>
                <w:rFonts w:hint="eastAsia"/>
                <w:color w:val="000000"/>
                <w:szCs w:val="21"/>
                <w:highlight w:val="white"/>
              </w:rPr>
              <w:t>1</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分包</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bookmarkStart w:id="38" w:name="EB73b3b2f706bf4d10b2b47e88266e293c"/>
            <w:r>
              <w:rPr>
                <w:rFonts w:hint="eastAsia"/>
                <w:color w:val="auto"/>
                <w:szCs w:val="21"/>
                <w:highlight w:val="white"/>
              </w:rPr>
              <w:t>□</w:t>
            </w:r>
            <w:bookmarkEnd w:id="38"/>
            <w:r>
              <w:rPr>
                <w:rFonts w:hint="eastAsia"/>
                <w:color w:val="auto"/>
                <w:szCs w:val="21"/>
                <w:highlight w:val="white"/>
              </w:rPr>
              <w:t>允许，</w:t>
            </w:r>
            <w:r>
              <w:rPr>
                <w:color w:val="auto"/>
                <w:szCs w:val="21"/>
                <w:highlight w:val="white"/>
              </w:rPr>
              <w:t>分包内容</w:t>
            </w:r>
            <w:r>
              <w:rPr>
                <w:rFonts w:hint="eastAsia"/>
                <w:color w:val="auto"/>
                <w:szCs w:val="21"/>
                <w:highlight w:val="white"/>
              </w:rPr>
              <w:t>要求</w:t>
            </w:r>
            <w:r>
              <w:rPr>
                <w:color w:val="auto"/>
                <w:szCs w:val="21"/>
                <w:highlight w:val="white"/>
              </w:rPr>
              <w:t>：</w:t>
            </w:r>
            <w:bookmarkStart w:id="39" w:name="EB32826244947d4ca6bff52ca9e6400629"/>
            <w:bookmarkEnd w:id="39"/>
          </w:p>
          <w:p>
            <w:pPr>
              <w:spacing w:line="400" w:lineRule="exact"/>
              <w:ind w:firstLine="840" w:firstLineChars="400"/>
              <w:rPr>
                <w:color w:val="auto"/>
                <w:szCs w:val="21"/>
              </w:rPr>
            </w:pPr>
            <w:r>
              <w:rPr>
                <w:color w:val="auto"/>
                <w:szCs w:val="21"/>
                <w:highlight w:val="white"/>
              </w:rPr>
              <w:t>分包金额</w:t>
            </w:r>
            <w:r>
              <w:rPr>
                <w:rFonts w:hint="eastAsia"/>
                <w:color w:val="auto"/>
                <w:szCs w:val="21"/>
                <w:highlight w:val="white"/>
              </w:rPr>
              <w:t>要求</w:t>
            </w:r>
            <w:r>
              <w:rPr>
                <w:color w:val="auto"/>
                <w:szCs w:val="21"/>
                <w:highlight w:val="white"/>
              </w:rPr>
              <w:t>：</w:t>
            </w:r>
            <w:bookmarkStart w:id="40" w:name="EBa2bca24804c040708b3ea94abeed29a3"/>
            <w:bookmarkEnd w:id="40"/>
          </w:p>
          <w:p>
            <w:pPr>
              <w:spacing w:line="400" w:lineRule="exact"/>
              <w:ind w:firstLine="840"/>
              <w:rPr>
                <w:color w:val="auto"/>
                <w:szCs w:val="21"/>
              </w:rPr>
            </w:pPr>
            <w:r>
              <w:rPr>
                <w:rFonts w:hint="eastAsia"/>
                <w:color w:val="auto"/>
                <w:szCs w:val="21"/>
                <w:highlight w:val="white"/>
              </w:rPr>
              <w:t>接受分包的第三人资质要求：</w:t>
            </w:r>
            <w:bookmarkStart w:id="41" w:name="EBd2b070a521be4636a991ebcbbaa9370c"/>
            <w:bookmarkEnd w:id="41"/>
          </w:p>
          <w:p>
            <w:pPr>
              <w:spacing w:line="400" w:lineRule="exact"/>
              <w:rPr>
                <w:color w:val="auto"/>
                <w:szCs w:val="21"/>
              </w:rPr>
            </w:pPr>
            <w:bookmarkStart w:id="42" w:name="EB524d87aca025423a8da502c1ede46fb4"/>
            <w:r>
              <w:rPr>
                <w:rFonts w:hint="eastAsia"/>
                <w:color w:val="auto"/>
                <w:szCs w:val="21"/>
                <w:highlight w:val="white"/>
              </w:rPr>
              <w:t>☑</w:t>
            </w:r>
            <w:bookmarkEnd w:id="42"/>
            <w:r>
              <w:rPr>
                <w:rFonts w:hint="eastAsia"/>
                <w:color w:val="auto"/>
                <w:szCs w:val="21"/>
                <w:highlight w:val="white"/>
              </w:rPr>
              <w:t>不允许</w:t>
            </w:r>
          </w:p>
        </w:tc>
      </w:tr>
      <w:tr>
        <w:tblPrEx>
          <w:tblCellMar>
            <w:top w:w="0" w:type="dxa"/>
            <w:left w:w="108" w:type="dxa"/>
            <w:bottom w:w="0" w:type="dxa"/>
            <w:right w:w="108" w:type="dxa"/>
          </w:tblCellMar>
        </w:tblPrEx>
        <w:trPr>
          <w:trHeight w:val="46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1.12</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偏离</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偏离允许幅度及其处理方法</w:t>
            </w:r>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3.3</w:t>
            </w:r>
            <w:r>
              <w:rPr>
                <w:rFonts w:hint="eastAsia"/>
                <w:color w:val="000000"/>
                <w:szCs w:val="21"/>
                <w:highlight w:val="white"/>
              </w:rPr>
              <w:t>.1</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投标有效期</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green"/>
              </w:rPr>
            </w:pPr>
            <w:bookmarkStart w:id="43" w:name="EB899ff882005d404f9835f4e648347987"/>
            <w:r>
              <w:rPr>
                <w:color w:val="auto"/>
                <w:szCs w:val="21"/>
                <w:highlight w:val="white"/>
              </w:rPr>
              <w:t>90天（日历日）。</w:t>
            </w:r>
            <w:bookmarkEnd w:id="43"/>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3.4.1</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投标保证金</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lang w:val="en-US" w:eastAsia="zh-CN"/>
              </w:rPr>
              <w:t>1.</w:t>
            </w:r>
            <w:r>
              <w:rPr>
                <w:rFonts w:hint="eastAsia"/>
                <w:color w:val="auto"/>
                <w:szCs w:val="21"/>
                <w:highlight w:val="white"/>
              </w:rPr>
              <w:t>投标保证金的</w:t>
            </w:r>
            <w:r>
              <w:rPr>
                <w:color w:val="auto"/>
                <w:szCs w:val="21"/>
                <w:highlight w:val="white"/>
              </w:rPr>
              <w:t>形式：</w:t>
            </w:r>
            <w:bookmarkStart w:id="44" w:name="EB83c7d8f7b0a54384959a2f1b4240d519"/>
            <w:r>
              <w:rPr>
                <w:color w:val="auto"/>
                <w:szCs w:val="21"/>
                <w:highlight w:val="white"/>
              </w:rPr>
              <w:t>☑网银、☑汇款、☑保函</w:t>
            </w:r>
            <w:bookmarkEnd w:id="44"/>
          </w:p>
          <w:p>
            <w:pPr>
              <w:spacing w:line="400" w:lineRule="exact"/>
              <w:rPr>
                <w:rFonts w:hint="eastAsia"/>
                <w:color w:val="auto"/>
                <w:szCs w:val="21"/>
                <w:highlight w:val="white"/>
                <w:lang w:eastAsia="zh-CN"/>
              </w:rPr>
            </w:pPr>
            <w:r>
              <w:rPr>
                <w:rFonts w:hint="eastAsia"/>
                <w:color w:val="auto"/>
                <w:szCs w:val="21"/>
                <w:highlight w:val="white"/>
                <w:lang w:val="en-US" w:eastAsia="zh-CN"/>
              </w:rPr>
              <w:t>2.</w:t>
            </w:r>
            <w:r>
              <w:rPr>
                <w:rFonts w:hint="eastAsia"/>
                <w:color w:val="auto"/>
                <w:szCs w:val="21"/>
                <w:highlight w:val="white"/>
              </w:rPr>
              <w:t>投标保证金的</w:t>
            </w:r>
            <w:r>
              <w:rPr>
                <w:color w:val="auto"/>
                <w:szCs w:val="21"/>
                <w:highlight w:val="white"/>
              </w:rPr>
              <w:t>金额：</w:t>
            </w:r>
            <w:r>
              <w:rPr>
                <w:rFonts w:hint="eastAsia"/>
                <w:color w:val="auto"/>
                <w:szCs w:val="21"/>
                <w:highlight w:val="white"/>
                <w:lang w:val="en-US" w:eastAsia="zh-CN"/>
              </w:rPr>
              <w:t xml:space="preserve">   </w:t>
            </w:r>
            <w:r>
              <w:rPr>
                <w:rFonts w:hint="eastAsia"/>
                <w:color w:val="auto"/>
                <w:szCs w:val="21"/>
                <w:highlight w:val="white"/>
                <w:lang w:eastAsia="zh-CN"/>
              </w:rPr>
              <w:t>万元</w:t>
            </w:r>
          </w:p>
          <w:p>
            <w:pPr>
              <w:pStyle w:val="15"/>
              <w:rPr>
                <w:rFonts w:hint="eastAsia"/>
                <w:color w:val="auto"/>
                <w:lang w:eastAsia="zh-CN"/>
              </w:rPr>
            </w:pPr>
            <w:r>
              <w:rPr>
                <w:rFonts w:hint="eastAsia"/>
                <w:color w:val="auto"/>
                <w:lang w:val="en-US" w:eastAsia="zh-CN"/>
              </w:rPr>
              <w:t>3.</w:t>
            </w:r>
            <w:r>
              <w:rPr>
                <w:rFonts w:hint="eastAsia"/>
                <w:color w:val="auto"/>
                <w:lang w:eastAsia="zh-CN"/>
              </w:rPr>
              <w:t>递交截止时间（到账时间）： 同本标段投标截止时间。</w:t>
            </w:r>
          </w:p>
          <w:p>
            <w:pPr>
              <w:pStyle w:val="139"/>
              <w:spacing w:before="67" w:line="211" w:lineRule="auto"/>
              <w:rPr>
                <w:color w:val="auto"/>
                <w:spacing w:val="-5"/>
                <w:highlight w:val="none"/>
              </w:rPr>
            </w:pPr>
            <w:r>
              <w:rPr>
                <w:color w:val="auto"/>
                <w:spacing w:val="-5"/>
                <w:highlight w:val="none"/>
              </w:rPr>
              <w:t>4.递交方式：</w:t>
            </w:r>
          </w:p>
          <w:p>
            <w:pPr>
              <w:pStyle w:val="139"/>
              <w:spacing w:before="76" w:line="221" w:lineRule="auto"/>
              <w:ind w:left="112"/>
              <w:rPr>
                <w:rFonts w:hint="eastAsia" w:eastAsia="宋体"/>
                <w:color w:val="auto"/>
                <w:highlight w:val="none"/>
                <w:lang w:val="en-US" w:eastAsia="zh-CN"/>
              </w:rPr>
            </w:pPr>
            <w:r>
              <w:rPr>
                <w:color w:val="auto"/>
                <w:spacing w:val="-3"/>
                <w:highlight w:val="none"/>
              </w:rPr>
              <w:t>4.1</w:t>
            </w:r>
            <w:r>
              <w:rPr>
                <w:color w:val="auto"/>
                <w:spacing w:val="-39"/>
                <w:highlight w:val="none"/>
              </w:rPr>
              <w:t xml:space="preserve"> </w:t>
            </w:r>
            <w:r>
              <w:rPr>
                <w:rFonts w:hint="eastAsia"/>
                <w:color w:val="auto"/>
                <w:spacing w:val="-39"/>
                <w:highlight w:val="none"/>
                <w:lang w:eastAsia="zh-CN"/>
              </w:rPr>
              <w:t>电汇</w:t>
            </w:r>
          </w:p>
          <w:p>
            <w:pPr>
              <w:pStyle w:val="139"/>
              <w:spacing w:before="66" w:line="240" w:lineRule="auto"/>
              <w:ind w:left="539"/>
              <w:rPr>
                <w:color w:val="auto"/>
                <w:highlight w:val="none"/>
              </w:rPr>
            </w:pPr>
            <w:r>
              <w:rPr>
                <w:color w:val="auto"/>
                <w:spacing w:val="-3"/>
                <w:highlight w:val="none"/>
              </w:rPr>
              <w:t>（1）收款信息</w:t>
            </w:r>
          </w:p>
          <w:p>
            <w:pPr>
              <w:pStyle w:val="139"/>
              <w:spacing w:before="69" w:line="240" w:lineRule="auto"/>
              <w:ind w:left="112" w:right="308" w:firstLine="423"/>
              <w:rPr>
                <w:color w:val="auto"/>
                <w:spacing w:val="-1"/>
                <w:highlight w:val="none"/>
              </w:rPr>
            </w:pPr>
            <w:r>
              <w:rPr>
                <w:color w:val="auto"/>
                <w:spacing w:val="-1"/>
                <w:highlight w:val="none"/>
              </w:rPr>
              <w:t>收款单位：</w:t>
            </w:r>
            <w:r>
              <w:rPr>
                <w:rFonts w:hint="eastAsia"/>
                <w:color w:val="auto"/>
                <w:spacing w:val="-1"/>
                <w:highlight w:val="none"/>
                <w:lang w:eastAsia="zh-CN"/>
              </w:rPr>
              <w:t>辽宁建鑫亿方项目管理有限公司</w:t>
            </w:r>
            <w:r>
              <w:rPr>
                <w:color w:val="auto"/>
                <w:spacing w:val="-1"/>
                <w:highlight w:val="none"/>
              </w:rPr>
              <w:t>；</w:t>
            </w:r>
          </w:p>
          <w:p>
            <w:pPr>
              <w:pStyle w:val="139"/>
              <w:spacing w:before="69" w:line="240" w:lineRule="auto"/>
              <w:ind w:left="112" w:right="308" w:firstLine="423"/>
              <w:rPr>
                <w:color w:val="auto"/>
                <w:spacing w:val="-1"/>
                <w:highlight w:val="none"/>
              </w:rPr>
            </w:pPr>
            <w:r>
              <w:rPr>
                <w:color w:val="auto"/>
                <w:spacing w:val="-1"/>
                <w:highlight w:val="none"/>
              </w:rPr>
              <w:t>开户银行：</w:t>
            </w:r>
            <w:r>
              <w:rPr>
                <w:rFonts w:hint="eastAsia"/>
                <w:color w:val="auto"/>
                <w:spacing w:val="-1"/>
                <w:highlight w:val="none"/>
                <w:lang w:eastAsia="zh-CN"/>
              </w:rPr>
              <w:t>中国农业银行沈阳建设大路支行</w:t>
            </w:r>
            <w:r>
              <w:rPr>
                <w:color w:val="auto"/>
                <w:spacing w:val="-1"/>
                <w:highlight w:val="none"/>
              </w:rPr>
              <w:t>；</w:t>
            </w:r>
          </w:p>
          <w:p>
            <w:pPr>
              <w:pStyle w:val="139"/>
              <w:spacing w:before="69" w:line="240" w:lineRule="auto"/>
              <w:ind w:left="112" w:right="308" w:firstLine="423"/>
              <w:rPr>
                <w:color w:val="auto"/>
                <w:spacing w:val="-1"/>
                <w:highlight w:val="none"/>
              </w:rPr>
            </w:pPr>
            <w:r>
              <w:rPr>
                <w:color w:val="auto"/>
                <w:spacing w:val="-1"/>
                <w:highlight w:val="none"/>
              </w:rPr>
              <w:t>账户账号：</w:t>
            </w:r>
            <w:r>
              <w:rPr>
                <w:rFonts w:hint="eastAsia"/>
                <w:color w:val="auto"/>
                <w:spacing w:val="-1"/>
                <w:highlight w:val="none"/>
                <w:lang w:val="en-US" w:eastAsia="zh-CN"/>
              </w:rPr>
              <w:t>06136301040000316</w:t>
            </w:r>
          </w:p>
          <w:p>
            <w:pPr>
              <w:pStyle w:val="139"/>
              <w:spacing w:before="69" w:line="240" w:lineRule="auto"/>
              <w:ind w:left="539"/>
              <w:rPr>
                <w:color w:val="auto"/>
                <w:highlight w:val="none"/>
              </w:rPr>
            </w:pPr>
            <w:r>
              <w:rPr>
                <w:color w:val="auto"/>
                <w:spacing w:val="-4"/>
                <w:highlight w:val="none"/>
              </w:rPr>
              <w:t>（2）收款说明</w:t>
            </w:r>
          </w:p>
          <w:p>
            <w:pPr>
              <w:pStyle w:val="139"/>
              <w:spacing w:before="69" w:line="240" w:lineRule="auto"/>
              <w:ind w:left="112" w:right="308" w:firstLine="423"/>
              <w:rPr>
                <w:color w:val="auto"/>
                <w:spacing w:val="-1"/>
                <w:highlight w:val="none"/>
              </w:rPr>
            </w:pPr>
            <w:r>
              <w:rPr>
                <w:color w:val="auto"/>
                <w:spacing w:val="-1"/>
                <w:highlight w:val="none"/>
              </w:rPr>
              <w:t>投标人应在投标截止时间前通过企业基本账户递交至</w:t>
            </w:r>
            <w:r>
              <w:rPr>
                <w:color w:val="auto"/>
                <w:spacing w:val="15"/>
                <w:highlight w:val="none"/>
              </w:rPr>
              <w:t xml:space="preserve"> </w:t>
            </w:r>
            <w:r>
              <w:rPr>
                <w:color w:val="auto"/>
                <w:spacing w:val="-1"/>
                <w:highlight w:val="none"/>
              </w:rPr>
              <w:t>4.1（1）规定的账户，否则视为无效投标保证金。</w:t>
            </w:r>
          </w:p>
          <w:p>
            <w:pPr>
              <w:pStyle w:val="139"/>
              <w:spacing w:before="69" w:line="240" w:lineRule="auto"/>
              <w:ind w:left="112" w:right="308" w:firstLine="423"/>
              <w:rPr>
                <w:rFonts w:hint="eastAsia"/>
                <w:color w:val="auto"/>
                <w:spacing w:val="-1"/>
                <w:highlight w:val="none"/>
              </w:rPr>
            </w:pPr>
            <w:r>
              <w:rPr>
                <w:rFonts w:hint="eastAsia"/>
                <w:color w:val="auto"/>
                <w:spacing w:val="-1"/>
                <w:highlight w:val="none"/>
              </w:rPr>
              <w:t>请投标人在汇款时务必注明所投标项目的名称，项目编号，否则因款项用途不明导致投标无效等后果由投标人自行承担。</w:t>
            </w:r>
          </w:p>
          <w:p>
            <w:pPr>
              <w:pStyle w:val="139"/>
              <w:spacing w:before="69" w:line="240" w:lineRule="auto"/>
              <w:ind w:left="112" w:right="308" w:firstLine="423"/>
              <w:rPr>
                <w:color w:val="auto"/>
                <w:spacing w:val="-1"/>
                <w:highlight w:val="none"/>
              </w:rPr>
            </w:pPr>
            <w:r>
              <w:rPr>
                <w:rFonts w:hint="eastAsia"/>
                <w:color w:val="auto"/>
                <w:spacing w:val="-1"/>
                <w:highlight w:val="none"/>
              </w:rPr>
              <w:t>投标人请自行将投标保证金银行汇款凭证（复印件加盖公章）附在投标文件指定的位置作为投标文件的一部分（即保证金缴纳情况证明材料，按照招标文件的具体要求），代理机构不再对投标保证金开具收据。</w:t>
            </w:r>
          </w:p>
          <w:p>
            <w:pPr>
              <w:pStyle w:val="139"/>
              <w:spacing w:before="70" w:line="221" w:lineRule="auto"/>
              <w:ind w:left="112"/>
              <w:rPr>
                <w:color w:val="auto"/>
                <w:highlight w:val="none"/>
              </w:rPr>
            </w:pPr>
            <w:r>
              <w:rPr>
                <w:color w:val="auto"/>
                <w:spacing w:val="-2"/>
                <w:highlight w:val="none"/>
              </w:rPr>
              <w:t>4.2</w:t>
            </w:r>
            <w:r>
              <w:rPr>
                <w:color w:val="auto"/>
                <w:spacing w:val="-40"/>
                <w:highlight w:val="none"/>
              </w:rPr>
              <w:t xml:space="preserve"> </w:t>
            </w:r>
            <w:r>
              <w:rPr>
                <w:color w:val="auto"/>
                <w:spacing w:val="-2"/>
                <w:highlight w:val="none"/>
              </w:rPr>
              <w:t>保函（保险）</w:t>
            </w:r>
          </w:p>
          <w:p>
            <w:pPr>
              <w:pStyle w:val="139"/>
              <w:spacing w:before="68" w:line="266" w:lineRule="auto"/>
              <w:ind w:left="113" w:right="214" w:firstLine="426"/>
              <w:rPr>
                <w:color w:val="auto"/>
                <w:highlight w:val="none"/>
              </w:rPr>
            </w:pPr>
            <w:r>
              <w:rPr>
                <w:color w:val="auto"/>
                <w:spacing w:val="-1"/>
                <w:highlight w:val="none"/>
              </w:rPr>
              <w:t>（1）投标人可通过辽宁省工程建设项目电子保函保险</w:t>
            </w:r>
            <w:r>
              <w:rPr>
                <w:color w:val="auto"/>
                <w:highlight w:val="none"/>
              </w:rPr>
              <w:t>基础服务平台跨地区、跨行业自由服务试点金融平</w:t>
            </w:r>
            <w:r>
              <w:rPr>
                <w:color w:val="auto"/>
                <w:spacing w:val="-1"/>
                <w:highlight w:val="none"/>
              </w:rPr>
              <w:t>台或金融机构任一渠道自主选择购买保函（保险</w:t>
            </w:r>
            <w:r>
              <w:rPr>
                <w:color w:val="auto"/>
                <w:spacing w:val="-32"/>
                <w:highlight w:val="none"/>
              </w:rPr>
              <w:t>），</w:t>
            </w:r>
            <w:r>
              <w:rPr>
                <w:color w:val="auto"/>
                <w:spacing w:val="-1"/>
                <w:highlight w:val="none"/>
              </w:rPr>
              <w:t>鼓励企业使</w:t>
            </w:r>
            <w:r>
              <w:rPr>
                <w:color w:val="auto"/>
                <w:spacing w:val="-5"/>
                <w:highlight w:val="none"/>
              </w:rPr>
              <w:t>用电子保函（保险）</w:t>
            </w:r>
            <w:r>
              <w:rPr>
                <w:color w:val="auto"/>
                <w:spacing w:val="-34"/>
                <w:highlight w:val="none"/>
              </w:rPr>
              <w:t xml:space="preserve"> </w:t>
            </w:r>
            <w:r>
              <w:rPr>
                <w:color w:val="auto"/>
                <w:spacing w:val="-5"/>
                <w:highlight w:val="none"/>
              </w:rPr>
              <w:t>等形式提交保证金。</w:t>
            </w:r>
          </w:p>
          <w:p>
            <w:pPr>
              <w:pStyle w:val="139"/>
              <w:spacing w:before="71" w:line="271" w:lineRule="auto"/>
              <w:ind w:left="113" w:right="216" w:firstLine="426"/>
              <w:rPr>
                <w:color w:val="auto"/>
                <w:spacing w:val="-7"/>
                <w:highlight w:val="none"/>
              </w:rPr>
            </w:pPr>
            <w:r>
              <w:rPr>
                <w:color w:val="auto"/>
                <w:spacing w:val="-1"/>
                <w:highlight w:val="none"/>
              </w:rPr>
              <w:t>（2）投标人应在投标截止时间前购买完成并生效。购</w:t>
            </w:r>
            <w:r>
              <w:rPr>
                <w:color w:val="auto"/>
                <w:spacing w:val="-4"/>
                <w:highlight w:val="none"/>
              </w:rPr>
              <w:t>买保函（保险） 的财务费用应当通过企业基本账</w:t>
            </w:r>
            <w:r>
              <w:rPr>
                <w:color w:val="auto"/>
                <w:spacing w:val="-5"/>
                <w:highlight w:val="none"/>
              </w:rPr>
              <w:t>户或主体</w:t>
            </w:r>
            <w:r>
              <w:rPr>
                <w:color w:val="auto"/>
                <w:highlight w:val="none"/>
              </w:rPr>
              <w:t>信息库登记的企业账户缴纳。纸质保函（保险）和</w:t>
            </w:r>
            <w:r>
              <w:rPr>
                <w:color w:val="auto"/>
                <w:spacing w:val="-1"/>
                <w:highlight w:val="none"/>
              </w:rPr>
              <w:t>电子保</w:t>
            </w:r>
            <w:r>
              <w:rPr>
                <w:color w:val="auto"/>
                <w:spacing w:val="-3"/>
                <w:highlight w:val="none"/>
              </w:rPr>
              <w:t>函（保险）</w:t>
            </w:r>
            <w:r>
              <w:rPr>
                <w:color w:val="auto"/>
                <w:spacing w:val="-33"/>
                <w:highlight w:val="none"/>
              </w:rPr>
              <w:t xml:space="preserve"> </w:t>
            </w:r>
            <w:r>
              <w:rPr>
                <w:color w:val="auto"/>
                <w:spacing w:val="-3"/>
                <w:highlight w:val="none"/>
              </w:rPr>
              <w:t>均能实现出函机构官方媒介或政府部门业务系</w:t>
            </w:r>
            <w:r>
              <w:rPr>
                <w:color w:val="auto"/>
                <w:spacing w:val="-6"/>
                <w:highlight w:val="none"/>
              </w:rPr>
              <w:t>统在线验真。购买保函（保险）的财务费用不是通过企业</w:t>
            </w:r>
            <w:r>
              <w:rPr>
                <w:color w:val="auto"/>
                <w:spacing w:val="-3"/>
                <w:highlight w:val="none"/>
              </w:rPr>
              <w:t>账户缴纳或无法在线验真的保函（保险）</w:t>
            </w:r>
            <w:r>
              <w:rPr>
                <w:color w:val="auto"/>
                <w:spacing w:val="-37"/>
                <w:highlight w:val="none"/>
              </w:rPr>
              <w:t xml:space="preserve"> </w:t>
            </w:r>
            <w:r>
              <w:rPr>
                <w:color w:val="auto"/>
                <w:spacing w:val="-3"/>
                <w:highlight w:val="none"/>
              </w:rPr>
              <w:t>视为无效保函</w:t>
            </w:r>
            <w:r>
              <w:rPr>
                <w:color w:val="auto"/>
                <w:spacing w:val="-7"/>
                <w:highlight w:val="none"/>
              </w:rPr>
              <w:t>（保险）。</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注：使用银行保函或担保保函形式缴纳投标保证金的投标人应在投标保证金截止时间前将保函原件正本递交给代理公司（开标现场递交），投标保证金截止时间之后递交的将被拒绝。</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保函上需注明所投项目名称及标段，否则由此导致投标无效等后果由投标人自行承担。</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采用电子保函方式缴纳的，应在投标截止时间前开具完成，按照招标文件中投标文件格式要求填写缴纳信息并附担保文书、保函财务费用支付凭证、基本户开户许可证等证明材料，并提供电子化保函验真渠道，由于无法查验核实或验证未通过则视为投标保函未提交，造成的一切后果由投标人自行承担。</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保函复印件加盖公章，附在投标文件指定的位置作为投标文件的一部分（即保证金缴纳情况证明材料，按照招标文件的具体要求）。</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保函的有效期与投标有效期保持一致或长于投标有效期。</w:t>
            </w:r>
          </w:p>
          <w:p>
            <w:pPr>
              <w:pStyle w:val="139"/>
              <w:spacing w:before="71" w:line="271" w:lineRule="auto"/>
              <w:ind w:right="216"/>
              <w:rPr>
                <w:rFonts w:hint="eastAsia"/>
                <w:color w:val="auto"/>
                <w:spacing w:val="-7"/>
                <w:highlight w:val="none"/>
              </w:rPr>
            </w:pPr>
            <w:r>
              <w:rPr>
                <w:rFonts w:hint="eastAsia"/>
                <w:color w:val="auto"/>
                <w:spacing w:val="-7"/>
                <w:highlight w:val="none"/>
              </w:rPr>
              <w:t>4.3 其他</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采用汇票等其他方式缴纳投标保证金的，也应参照现金方式缴纳要求执行。招标人要求可以不缴纳投标保证金的除外。</w:t>
            </w:r>
          </w:p>
          <w:p>
            <w:pPr>
              <w:pStyle w:val="139"/>
              <w:spacing w:before="71" w:line="271" w:lineRule="auto"/>
              <w:ind w:right="216"/>
              <w:rPr>
                <w:rFonts w:hint="eastAsia"/>
                <w:color w:val="auto"/>
                <w:spacing w:val="-7"/>
                <w:highlight w:val="none"/>
              </w:rPr>
            </w:pPr>
            <w:r>
              <w:rPr>
                <w:rFonts w:hint="eastAsia"/>
                <w:color w:val="auto"/>
                <w:spacing w:val="-7"/>
                <w:highlight w:val="none"/>
                <w:lang w:val="en-US" w:eastAsia="zh-CN"/>
              </w:rPr>
              <w:t>4.4</w:t>
            </w:r>
            <w:r>
              <w:rPr>
                <w:rFonts w:hint="eastAsia"/>
                <w:color w:val="auto"/>
                <w:spacing w:val="-7"/>
                <w:highlight w:val="none"/>
              </w:rPr>
              <w:t>退还办法： 投标保函原件正本由代理公司代为保存，中标通知书发放后，未中标投标人如无异议，可申请退返保函；中标人可在签订合同后5日内申请退返保函。</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保证金退还方式：电汇或保函</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 xml:space="preserve">按照《招投标法实施条例》第五十七条规定：保证金退返时间最迟应在书面合同签订后5日内。  </w:t>
            </w:r>
          </w:p>
          <w:p>
            <w:pPr>
              <w:pStyle w:val="139"/>
              <w:spacing w:before="71" w:line="271" w:lineRule="auto"/>
              <w:ind w:left="113" w:right="216" w:firstLine="426"/>
              <w:rPr>
                <w:rFonts w:hint="eastAsia"/>
                <w:color w:val="auto"/>
                <w:spacing w:val="-7"/>
                <w:highlight w:val="none"/>
              </w:rPr>
            </w:pPr>
            <w:r>
              <w:rPr>
                <w:rFonts w:hint="eastAsia"/>
                <w:color w:val="auto"/>
                <w:spacing w:val="-7"/>
                <w:highlight w:val="none"/>
              </w:rPr>
              <w:t>保证金退还咨询电话：</w:t>
            </w:r>
            <w:r>
              <w:rPr>
                <w:rFonts w:hint="eastAsia"/>
                <w:color w:val="auto"/>
                <w:spacing w:val="-7"/>
                <w:highlight w:val="none"/>
                <w:lang w:val="en-US" w:eastAsia="zh-CN"/>
              </w:rPr>
              <w:t>024-31084298</w:t>
            </w:r>
            <w:r>
              <w:rPr>
                <w:rFonts w:hint="eastAsia"/>
                <w:color w:val="auto"/>
                <w:spacing w:val="-7"/>
                <w:highlight w:val="none"/>
              </w:rPr>
              <w:t xml:space="preserve">  </w:t>
            </w:r>
            <w:r>
              <w:rPr>
                <w:rFonts w:hint="eastAsia"/>
                <w:color w:val="auto"/>
                <w:spacing w:val="-7"/>
                <w:highlight w:val="none"/>
                <w:lang w:eastAsia="zh-CN"/>
              </w:rPr>
              <w:t>吴</w:t>
            </w:r>
            <w:r>
              <w:rPr>
                <w:rFonts w:hint="eastAsia"/>
                <w:color w:val="auto"/>
                <w:spacing w:val="-7"/>
                <w:highlight w:val="none"/>
              </w:rPr>
              <w:t xml:space="preserve">女士。 </w:t>
            </w:r>
          </w:p>
        </w:tc>
      </w:tr>
      <w:tr>
        <w:tblPrEx>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4.2.2</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Cs w:val="21"/>
                <w:highlight w:val="white"/>
              </w:rPr>
            </w:pPr>
            <w:r>
              <w:rPr>
                <w:rFonts w:hint="eastAsia"/>
                <w:color w:val="auto"/>
                <w:szCs w:val="21"/>
                <w:highlight w:val="white"/>
              </w:rPr>
              <w:t>递交投标文件地点</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auto"/>
                <w:szCs w:val="21"/>
                <w:highlight w:val="none"/>
              </w:rPr>
            </w:pPr>
            <w:bookmarkStart w:id="45" w:name="EB5748f0f4b9ff40eab3be6c48c9df7d35"/>
            <w:r>
              <w:rPr>
                <w:rFonts w:hint="eastAsia"/>
                <w:color w:val="auto"/>
                <w:szCs w:val="21"/>
                <w:highlight w:val="none"/>
              </w:rPr>
              <w:t>本项目开标方式：远程开标（不见面交易）。</w:t>
            </w:r>
          </w:p>
          <w:p>
            <w:pPr>
              <w:spacing w:line="400" w:lineRule="exact"/>
              <w:rPr>
                <w:rFonts w:hint="eastAsia"/>
                <w:color w:val="auto"/>
                <w:szCs w:val="21"/>
                <w:highlight w:val="none"/>
              </w:rPr>
            </w:pPr>
            <w:r>
              <w:rPr>
                <w:rFonts w:hint="eastAsia"/>
                <w:color w:val="auto"/>
                <w:szCs w:val="21"/>
                <w:highlight w:val="none"/>
              </w:rPr>
              <w:t>网络递交投标文件：电子投标文件在辽宁省公共资源交易网 http://ggzy.ln.gov.cn/指定栏目上传投标文件。</w:t>
            </w:r>
          </w:p>
          <w:p>
            <w:pPr>
              <w:spacing w:line="400" w:lineRule="exact"/>
              <w:rPr>
                <w:rFonts w:hint="eastAsia"/>
                <w:color w:val="auto"/>
                <w:szCs w:val="21"/>
                <w:highlight w:val="none"/>
              </w:rPr>
            </w:pPr>
            <w:r>
              <w:rPr>
                <w:rFonts w:hint="eastAsia"/>
                <w:color w:val="auto"/>
                <w:szCs w:val="21"/>
                <w:highlight w:val="none"/>
                <w:lang w:val="en-US" w:eastAsia="zh-CN"/>
              </w:rPr>
              <w:t>2、</w:t>
            </w:r>
            <w:r>
              <w:rPr>
                <w:rFonts w:hint="eastAsia"/>
                <w:color w:val="auto"/>
                <w:szCs w:val="21"/>
                <w:highlight w:val="none"/>
              </w:rPr>
              <w:t>本项目采用远程解密、远程直播开标。开标网址：https://www.lnsggzy.com/BidOpeningHall/bidhall/dqliaoning/login。投标文件需要用实体 CA 数字证书或移动 CA 数字证书生成上传。解密时限为递交投标文件截止时间起 30 分钟内（因开标系统发生不可抗力产生延误解密时间的，招标人将延长相应的解</w:t>
            </w:r>
          </w:p>
          <w:p>
            <w:pPr>
              <w:spacing w:line="400" w:lineRule="exact"/>
              <w:rPr>
                <w:rFonts w:hint="eastAsia"/>
                <w:color w:val="auto"/>
                <w:szCs w:val="21"/>
                <w:highlight w:val="none"/>
              </w:rPr>
            </w:pPr>
            <w:r>
              <w:rPr>
                <w:rFonts w:hint="eastAsia"/>
                <w:color w:val="auto"/>
                <w:szCs w:val="21"/>
                <w:highlight w:val="none"/>
              </w:rPr>
              <w:t>密时长，其他原因不予延长解密时间），登录交易系统进入所投开标项目，使用 CA 数字证书解密。未在规定时间内完成解密的投标人，视为放弃本次投标，招标人不再接收。因开标系统发生不可抗力无法进行网络电子开标的，采用现场纸质开标。逾期递交的或者未按要求递交的投标文件，招标人不予受理。</w:t>
            </w:r>
            <w:bookmarkEnd w:id="45"/>
          </w:p>
          <w:p>
            <w:pPr>
              <w:spacing w:line="400" w:lineRule="exact"/>
              <w:rPr>
                <w:rFonts w:hint="eastAsia"/>
                <w:color w:val="auto"/>
                <w:szCs w:val="21"/>
                <w:highlight w:val="white"/>
                <w:lang w:val="en-US" w:eastAsia="zh-CN"/>
              </w:rPr>
            </w:pPr>
            <w:r>
              <w:rPr>
                <w:rFonts w:hint="eastAsia"/>
                <w:color w:val="auto"/>
                <w:szCs w:val="21"/>
                <w:highlight w:val="none"/>
                <w:lang w:val="en-US" w:eastAsia="zh-CN"/>
              </w:rPr>
              <w:t>3、投标文件纸质版正本一份、U盘一份递交至大石桥市审批技术审查与公共资源交易中心(营口大石桥市二高街2号)。</w:t>
            </w:r>
          </w:p>
        </w:tc>
      </w:tr>
      <w:tr>
        <w:tblPrEx>
          <w:tblCellMar>
            <w:top w:w="0" w:type="dxa"/>
            <w:left w:w="108" w:type="dxa"/>
            <w:bottom w:w="0" w:type="dxa"/>
            <w:right w:w="108" w:type="dxa"/>
          </w:tblCellMar>
        </w:tblPrEx>
        <w:trPr>
          <w:trHeight w:val="880" w:hRule="atLeast"/>
        </w:trPr>
        <w:tc>
          <w:tcPr>
            <w:tcW w:w="380" w:type="pct"/>
            <w:tcBorders>
              <w:top w:val="single" w:color="auto" w:sz="4" w:space="0"/>
              <w:left w:val="single" w:color="auto" w:sz="4" w:space="0"/>
              <w:right w:val="single" w:color="auto" w:sz="4" w:space="0"/>
            </w:tcBorders>
            <w:vAlign w:val="center"/>
          </w:tcPr>
          <w:p>
            <w:pPr>
              <w:spacing w:line="400" w:lineRule="exact"/>
              <w:rPr>
                <w:color w:val="000000"/>
                <w:szCs w:val="21"/>
              </w:rPr>
            </w:pPr>
            <w:r>
              <w:rPr>
                <w:color w:val="000000"/>
                <w:szCs w:val="21"/>
                <w:highlight w:val="white"/>
              </w:rPr>
              <w:t>5.1</w:t>
            </w:r>
          </w:p>
        </w:tc>
        <w:tc>
          <w:tcPr>
            <w:tcW w:w="1386" w:type="pct"/>
            <w:tcBorders>
              <w:top w:val="single" w:color="auto" w:sz="4" w:space="0"/>
              <w:left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开标时间和地点</w:t>
            </w:r>
          </w:p>
        </w:tc>
        <w:tc>
          <w:tcPr>
            <w:tcW w:w="3233" w:type="pct"/>
            <w:tcBorders>
              <w:top w:val="single" w:color="auto" w:sz="4" w:space="0"/>
              <w:left w:val="single" w:color="auto" w:sz="4" w:space="0"/>
              <w:right w:val="single" w:color="auto" w:sz="4" w:space="0"/>
            </w:tcBorders>
            <w:vAlign w:val="center"/>
          </w:tcPr>
          <w:p>
            <w:pPr>
              <w:spacing w:line="400" w:lineRule="exact"/>
              <w:rPr>
                <w:rFonts w:hint="eastAsia" w:eastAsia="宋体"/>
                <w:color w:val="auto"/>
                <w:szCs w:val="21"/>
                <w:lang w:eastAsia="zh-CN"/>
              </w:rPr>
            </w:pPr>
            <w:r>
              <w:rPr>
                <w:color w:val="auto"/>
                <w:szCs w:val="21"/>
                <w:highlight w:val="white"/>
              </w:rPr>
              <w:t>开标时间</w:t>
            </w:r>
            <w:r>
              <w:rPr>
                <w:rFonts w:hint="eastAsia"/>
                <w:color w:val="auto"/>
                <w:szCs w:val="21"/>
                <w:highlight w:val="white"/>
              </w:rPr>
              <w:t>：</w:t>
            </w:r>
            <w:bookmarkStart w:id="46" w:name="EBe792876fb601454785687541060aa6e5"/>
            <w:r>
              <w:rPr>
                <w:rFonts w:hint="eastAsia"/>
                <w:color w:val="auto"/>
                <w:szCs w:val="21"/>
                <w:highlight w:val="white"/>
                <w:lang w:eastAsia="zh-CN"/>
              </w:rPr>
              <w:t>2024年</w:t>
            </w:r>
            <w:r>
              <w:rPr>
                <w:rFonts w:hint="eastAsia"/>
                <w:color w:val="auto"/>
                <w:szCs w:val="21"/>
                <w:highlight w:val="white"/>
                <w:lang w:val="en-US" w:eastAsia="zh-CN"/>
              </w:rPr>
              <w:t>/</w:t>
            </w:r>
            <w:r>
              <w:rPr>
                <w:rFonts w:hint="eastAsia"/>
                <w:color w:val="auto"/>
                <w:szCs w:val="21"/>
                <w:highlight w:val="white"/>
                <w:lang w:eastAsia="zh-CN"/>
              </w:rPr>
              <w:t>月</w:t>
            </w:r>
            <w:r>
              <w:rPr>
                <w:rFonts w:hint="eastAsia"/>
                <w:color w:val="auto"/>
                <w:szCs w:val="21"/>
                <w:highlight w:val="white"/>
                <w:lang w:val="en-US" w:eastAsia="zh-CN"/>
              </w:rPr>
              <w:t>/</w:t>
            </w:r>
            <w:r>
              <w:rPr>
                <w:rFonts w:hint="eastAsia"/>
                <w:color w:val="auto"/>
                <w:szCs w:val="21"/>
                <w:highlight w:val="white"/>
                <w:lang w:eastAsia="zh-CN"/>
              </w:rPr>
              <w:t>日</w:t>
            </w:r>
            <w:r>
              <w:rPr>
                <w:rFonts w:hint="eastAsia"/>
                <w:color w:val="auto"/>
                <w:szCs w:val="21"/>
                <w:highlight w:val="white"/>
              </w:rPr>
              <w:t xml:space="preserve"> </w:t>
            </w:r>
            <w:bookmarkEnd w:id="46"/>
            <w:r>
              <w:rPr>
                <w:rFonts w:hint="eastAsia"/>
                <w:color w:val="auto"/>
                <w:szCs w:val="21"/>
                <w:highlight w:val="white"/>
                <w:lang w:val="en-US" w:eastAsia="zh-CN"/>
              </w:rPr>
              <w:t>09</w:t>
            </w:r>
            <w:r>
              <w:rPr>
                <w:rFonts w:hint="eastAsia"/>
                <w:color w:val="auto"/>
                <w:szCs w:val="21"/>
                <w:highlight w:val="white"/>
                <w:lang w:eastAsia="zh-CN"/>
              </w:rPr>
              <w:t>:</w:t>
            </w:r>
            <w:r>
              <w:rPr>
                <w:rFonts w:hint="eastAsia"/>
                <w:color w:val="auto"/>
                <w:szCs w:val="21"/>
                <w:highlight w:val="white"/>
                <w:lang w:val="en-US" w:eastAsia="zh-CN"/>
              </w:rPr>
              <w:t>3</w:t>
            </w:r>
            <w:r>
              <w:rPr>
                <w:rFonts w:hint="eastAsia"/>
                <w:color w:val="auto"/>
                <w:szCs w:val="21"/>
                <w:highlight w:val="white"/>
                <w:lang w:eastAsia="zh-CN"/>
              </w:rPr>
              <w:t>0</w:t>
            </w:r>
          </w:p>
          <w:p>
            <w:pPr>
              <w:spacing w:line="400" w:lineRule="exact"/>
              <w:rPr>
                <w:rFonts w:hint="eastAsia" w:eastAsia="宋体"/>
                <w:color w:val="auto"/>
                <w:szCs w:val="21"/>
                <w:lang w:eastAsia="zh-CN"/>
              </w:rPr>
            </w:pPr>
            <w:r>
              <w:rPr>
                <w:color w:val="auto"/>
                <w:szCs w:val="21"/>
                <w:highlight w:val="white"/>
              </w:rPr>
              <w:t>开标地点</w:t>
            </w:r>
            <w:r>
              <w:rPr>
                <w:rFonts w:hint="eastAsia"/>
                <w:color w:val="auto"/>
                <w:szCs w:val="21"/>
                <w:highlight w:val="white"/>
              </w:rPr>
              <w:t>：</w:t>
            </w:r>
            <w:r>
              <w:rPr>
                <w:rFonts w:hint="eastAsia"/>
                <w:color w:val="auto"/>
                <w:szCs w:val="21"/>
                <w:highlight w:val="none"/>
                <w:lang w:eastAsia="zh-CN"/>
              </w:rPr>
              <w:t>大石桥市审批技术审查与公共资源交易中心(营口大石桥市二高街2号)</w:t>
            </w:r>
          </w:p>
        </w:tc>
      </w:tr>
      <w:tr>
        <w:tblPrEx>
          <w:tblCellMar>
            <w:top w:w="0" w:type="dxa"/>
            <w:left w:w="108" w:type="dxa"/>
            <w:bottom w:w="0" w:type="dxa"/>
            <w:right w:w="108" w:type="dxa"/>
          </w:tblCellMar>
        </w:tblPrEx>
        <w:trPr>
          <w:trHeight w:val="634" w:hRule="atLeast"/>
        </w:trPr>
        <w:tc>
          <w:tcPr>
            <w:tcW w:w="380" w:type="pct"/>
            <w:tcBorders>
              <w:top w:val="single" w:color="auto" w:sz="4" w:space="0"/>
              <w:left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5.2</w:t>
            </w:r>
          </w:p>
        </w:tc>
        <w:tc>
          <w:tcPr>
            <w:tcW w:w="1386" w:type="pct"/>
            <w:tcBorders>
              <w:top w:val="single" w:color="auto" w:sz="4" w:space="0"/>
              <w:left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开标程序</w:t>
            </w:r>
          </w:p>
        </w:tc>
        <w:tc>
          <w:tcPr>
            <w:tcW w:w="3233" w:type="pct"/>
            <w:tcBorders>
              <w:top w:val="single" w:color="auto" w:sz="4" w:space="0"/>
              <w:left w:val="single" w:color="auto" w:sz="4" w:space="0"/>
              <w:right w:val="single" w:color="auto" w:sz="4" w:space="0"/>
            </w:tcBorders>
            <w:vAlign w:val="center"/>
          </w:tcPr>
          <w:p>
            <w:pPr>
              <w:spacing w:line="400" w:lineRule="exact"/>
              <w:rPr>
                <w:rFonts w:hint="eastAsia"/>
                <w:color w:val="auto"/>
                <w:szCs w:val="21"/>
                <w:highlight w:val="white"/>
              </w:rPr>
            </w:pPr>
            <w:r>
              <w:rPr>
                <w:rFonts w:hint="eastAsia"/>
                <w:color w:val="auto"/>
                <w:szCs w:val="21"/>
                <w:highlight w:val="white"/>
              </w:rPr>
              <w:t>投标文件的密封检查：</w:t>
            </w:r>
            <w:bookmarkStart w:id="47" w:name="EB74c3a88d12394fba9c214c5962a32b6c"/>
            <w:r>
              <w:rPr>
                <w:rFonts w:hint="eastAsia"/>
                <w:color w:val="auto"/>
                <w:szCs w:val="21"/>
                <w:highlight w:val="white"/>
              </w:rPr>
              <w:t>按投标文件送达的逆顺序开标。</w:t>
            </w:r>
          </w:p>
          <w:p>
            <w:pPr>
              <w:spacing w:line="400" w:lineRule="exact"/>
              <w:rPr>
                <w:rFonts w:hint="eastAsia"/>
                <w:color w:val="auto"/>
                <w:szCs w:val="21"/>
                <w:highlight w:val="white"/>
              </w:rPr>
            </w:pPr>
            <w:r>
              <w:rPr>
                <w:rFonts w:hint="eastAsia"/>
                <w:color w:val="auto"/>
                <w:szCs w:val="21"/>
                <w:highlight w:val="white"/>
              </w:rPr>
              <w:t>开标程序：1.公布投标人名称；2.电子投标按规定时间解密；3.公布招标控制价； 4.公开唱标</w:t>
            </w:r>
            <w:bookmarkEnd w:id="47"/>
          </w:p>
          <w:p>
            <w:pPr>
              <w:pStyle w:val="15"/>
              <w:rPr>
                <w:color w:val="auto"/>
                <w:spacing w:val="-1"/>
                <w:highlight w:val="none"/>
              </w:rPr>
            </w:pPr>
          </w:p>
          <w:p>
            <w:pPr>
              <w:pStyle w:val="15"/>
              <w:rPr>
                <w:color w:val="auto"/>
              </w:rPr>
            </w:pPr>
            <w:r>
              <w:rPr>
                <w:color w:val="auto"/>
                <w:spacing w:val="-1"/>
                <w:highlight w:val="none"/>
              </w:rPr>
              <w:t>招标人发出解密提示后</w:t>
            </w:r>
            <w:r>
              <w:rPr>
                <w:color w:val="auto"/>
                <w:spacing w:val="-97"/>
                <w:highlight w:val="none"/>
              </w:rPr>
              <w:t xml:space="preserve"> </w:t>
            </w:r>
            <w:r>
              <w:rPr>
                <w:color w:val="auto"/>
                <w:spacing w:val="19"/>
                <w:highlight w:val="none"/>
                <w:u w:val="single" w:color="auto"/>
              </w:rPr>
              <w:t xml:space="preserve">  </w:t>
            </w:r>
            <w:r>
              <w:rPr>
                <w:rFonts w:hint="eastAsia"/>
                <w:color w:val="auto"/>
                <w:spacing w:val="19"/>
                <w:highlight w:val="none"/>
                <w:u w:val="single" w:color="auto"/>
                <w:lang w:val="en-US" w:eastAsia="zh-CN"/>
              </w:rPr>
              <w:t>30</w:t>
            </w:r>
            <w:r>
              <w:rPr>
                <w:color w:val="auto"/>
                <w:spacing w:val="19"/>
                <w:highlight w:val="none"/>
                <w:u w:val="single" w:color="auto"/>
              </w:rPr>
              <w:t xml:space="preserve"> </w:t>
            </w:r>
            <w:r>
              <w:rPr>
                <w:color w:val="auto"/>
                <w:spacing w:val="-92"/>
                <w:highlight w:val="none"/>
              </w:rPr>
              <w:t xml:space="preserve"> </w:t>
            </w:r>
            <w:r>
              <w:rPr>
                <w:color w:val="auto"/>
                <w:spacing w:val="-1"/>
                <w:highlight w:val="none"/>
              </w:rPr>
              <w:t>分钟内。遇到投标人较多或其</w:t>
            </w:r>
            <w:r>
              <w:rPr>
                <w:color w:val="auto"/>
                <w:spacing w:val="-4"/>
                <w:highlight w:val="none"/>
              </w:rPr>
              <w:t>他特殊情况在</w:t>
            </w:r>
            <w:r>
              <w:rPr>
                <w:color w:val="auto"/>
                <w:spacing w:val="-4"/>
                <w:highlight w:val="none"/>
                <w:u w:val="single" w:color="auto"/>
              </w:rPr>
              <w:t xml:space="preserve"> </w:t>
            </w:r>
            <w:r>
              <w:rPr>
                <w:rFonts w:hint="eastAsia"/>
                <w:color w:val="auto"/>
                <w:spacing w:val="-4"/>
                <w:highlight w:val="none"/>
                <w:u w:val="single" w:color="auto"/>
                <w:lang w:val="en-US" w:eastAsia="zh-CN"/>
              </w:rPr>
              <w:t>30</w:t>
            </w:r>
            <w:r>
              <w:rPr>
                <w:color w:val="auto"/>
                <w:spacing w:val="-4"/>
                <w:highlight w:val="none"/>
                <w:u w:val="single" w:color="auto"/>
              </w:rPr>
              <w:t xml:space="preserve"> </w:t>
            </w:r>
            <w:r>
              <w:rPr>
                <w:color w:val="auto"/>
                <w:spacing w:val="-84"/>
                <w:highlight w:val="none"/>
              </w:rPr>
              <w:t xml:space="preserve"> </w:t>
            </w:r>
            <w:r>
              <w:rPr>
                <w:color w:val="auto"/>
                <w:spacing w:val="-4"/>
                <w:highlight w:val="none"/>
              </w:rPr>
              <w:t>分钟内无法完成解密的，可报项目行政</w:t>
            </w:r>
            <w:r>
              <w:rPr>
                <w:color w:val="auto"/>
                <w:spacing w:val="-2"/>
                <w:highlight w:val="none"/>
              </w:rPr>
              <w:t>监督部门适当延长解密时间。</w:t>
            </w:r>
          </w:p>
        </w:tc>
      </w:tr>
      <w:tr>
        <w:tblPrEx>
          <w:tblCellMar>
            <w:top w:w="0" w:type="dxa"/>
            <w:left w:w="108" w:type="dxa"/>
            <w:bottom w:w="0" w:type="dxa"/>
            <w:right w:w="108" w:type="dxa"/>
          </w:tblCellMar>
        </w:tblPrEx>
        <w:trPr>
          <w:trHeight w:val="880" w:hRule="atLeast"/>
        </w:trPr>
        <w:tc>
          <w:tcPr>
            <w:tcW w:w="380" w:type="pct"/>
            <w:tcBorders>
              <w:top w:val="single" w:color="auto" w:sz="4" w:space="0"/>
              <w:left w:val="single" w:color="auto" w:sz="4" w:space="0"/>
              <w:right w:val="single" w:color="auto" w:sz="4" w:space="0"/>
            </w:tcBorders>
            <w:vAlign w:val="center"/>
          </w:tcPr>
          <w:p>
            <w:pPr>
              <w:spacing w:line="400" w:lineRule="exact"/>
              <w:rPr>
                <w:color w:val="000000"/>
                <w:szCs w:val="21"/>
              </w:rPr>
            </w:pPr>
            <w:r>
              <w:rPr>
                <w:color w:val="000000"/>
                <w:szCs w:val="21"/>
                <w:highlight w:val="white"/>
              </w:rPr>
              <w:t>6.1.1</w:t>
            </w:r>
          </w:p>
        </w:tc>
        <w:tc>
          <w:tcPr>
            <w:tcW w:w="1386" w:type="pct"/>
            <w:tcBorders>
              <w:top w:val="single" w:color="auto" w:sz="4" w:space="0"/>
              <w:left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评标委员会的组建</w:t>
            </w:r>
          </w:p>
        </w:tc>
        <w:tc>
          <w:tcPr>
            <w:tcW w:w="3233" w:type="pct"/>
            <w:tcBorders>
              <w:top w:val="single" w:color="auto" w:sz="4" w:space="0"/>
              <w:left w:val="single" w:color="auto" w:sz="4" w:space="0"/>
              <w:right w:val="single" w:color="auto" w:sz="4" w:space="0"/>
            </w:tcBorders>
            <w:vAlign w:val="center"/>
          </w:tcPr>
          <w:p>
            <w:pPr>
              <w:spacing w:line="400" w:lineRule="exact"/>
              <w:rPr>
                <w:color w:val="auto"/>
                <w:szCs w:val="21"/>
                <w:highlight w:val="none"/>
              </w:rPr>
            </w:pPr>
            <w:r>
              <w:rPr>
                <w:color w:val="auto"/>
                <w:szCs w:val="21"/>
                <w:highlight w:val="none"/>
              </w:rPr>
              <w:t>评标委员会</w:t>
            </w:r>
            <w:r>
              <w:rPr>
                <w:rFonts w:hint="eastAsia"/>
                <w:color w:val="auto"/>
                <w:szCs w:val="21"/>
                <w:highlight w:val="none"/>
              </w:rPr>
              <w:t>构成：</w:t>
            </w:r>
            <w:r>
              <w:rPr>
                <w:rFonts w:hint="eastAsia"/>
                <w:color w:val="auto"/>
                <w:szCs w:val="21"/>
                <w:highlight w:val="none"/>
                <w:lang w:val="en-US" w:eastAsia="zh-CN"/>
              </w:rPr>
              <w:t xml:space="preserve">  </w:t>
            </w:r>
            <w:r>
              <w:rPr>
                <w:rFonts w:hint="eastAsia"/>
                <w:color w:val="auto"/>
                <w:szCs w:val="21"/>
                <w:highlight w:val="none"/>
              </w:rPr>
              <w:t>人，其中招标人代表</w:t>
            </w:r>
            <w:bookmarkStart w:id="48" w:name="EB67616f5b92e7420ab2fdc05c1d5cb648"/>
            <w:bookmarkEnd w:id="48"/>
            <w:r>
              <w:rPr>
                <w:rFonts w:hint="eastAsia"/>
                <w:color w:val="auto"/>
                <w:szCs w:val="21"/>
                <w:highlight w:val="none"/>
                <w:u w:val="single"/>
                <w:lang w:val="en-US" w:eastAsia="zh-CN"/>
              </w:rPr>
              <w:t xml:space="preserve">  </w:t>
            </w:r>
            <w:r>
              <w:rPr>
                <w:rFonts w:hint="eastAsia"/>
                <w:color w:val="auto"/>
                <w:szCs w:val="21"/>
                <w:highlight w:val="none"/>
              </w:rPr>
              <w:t>人，专家</w:t>
            </w:r>
            <w:bookmarkStart w:id="49" w:name="EB86e8c0ece99948f085526fd5d7cfb8a6"/>
            <w:bookmarkEnd w:id="49"/>
            <w:r>
              <w:rPr>
                <w:rFonts w:hint="eastAsia"/>
                <w:color w:val="auto"/>
                <w:szCs w:val="21"/>
                <w:highlight w:val="none"/>
                <w:u w:val="single"/>
                <w:lang w:val="en-US" w:eastAsia="zh-CN"/>
              </w:rPr>
              <w:t xml:space="preserve">    </w:t>
            </w:r>
            <w:r>
              <w:rPr>
                <w:rFonts w:hint="eastAsia"/>
                <w:color w:val="auto"/>
                <w:szCs w:val="21"/>
                <w:highlight w:val="none"/>
              </w:rPr>
              <w:t>人；</w:t>
            </w:r>
          </w:p>
          <w:p>
            <w:pPr>
              <w:spacing w:line="400" w:lineRule="exact"/>
              <w:rPr>
                <w:color w:val="auto"/>
                <w:szCs w:val="21"/>
                <w:highlight w:val="none"/>
              </w:rPr>
            </w:pPr>
            <w:r>
              <w:rPr>
                <w:color w:val="auto"/>
                <w:szCs w:val="21"/>
                <w:highlight w:val="none"/>
              </w:rPr>
              <w:t>评标专家确定方式</w:t>
            </w:r>
            <w:r>
              <w:rPr>
                <w:rFonts w:hint="eastAsia"/>
                <w:color w:val="auto"/>
                <w:szCs w:val="21"/>
                <w:highlight w:val="none"/>
              </w:rPr>
              <w:t>：</w:t>
            </w:r>
            <w:bookmarkStart w:id="50" w:name="EBf3ce8d3f402c4e4ca85efcbdf9daf9ac"/>
            <w:r>
              <w:rPr>
                <w:color w:val="auto"/>
                <w:szCs w:val="21"/>
                <w:highlight w:val="none"/>
              </w:rPr>
              <w:t>在辽宁省综合评标专家库中随机抽取。</w:t>
            </w:r>
            <w:bookmarkEnd w:id="50"/>
          </w:p>
        </w:tc>
      </w:tr>
      <w:tr>
        <w:tblPrEx>
          <w:tblCellMar>
            <w:top w:w="0" w:type="dxa"/>
            <w:left w:w="108" w:type="dxa"/>
            <w:bottom w:w="0" w:type="dxa"/>
            <w:right w:w="108" w:type="dxa"/>
          </w:tblCellMar>
        </w:tblPrEx>
        <w:trPr>
          <w:trHeight w:val="844"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color w:val="000000"/>
                <w:szCs w:val="21"/>
                <w:highlight w:val="white"/>
              </w:rPr>
              <w:t>7.3.1</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highlight w:val="yellow"/>
              </w:rPr>
            </w:pPr>
            <w:r>
              <w:rPr>
                <w:color w:val="000000"/>
                <w:szCs w:val="21"/>
                <w:highlight w:val="none"/>
              </w:rPr>
              <w:t>履约担保</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000000"/>
                <w:szCs w:val="21"/>
                <w:highlight w:val="none"/>
                <w:lang w:val="en-US" w:eastAsia="zh-CN"/>
              </w:rPr>
            </w:pPr>
            <w:r>
              <w:rPr>
                <w:rFonts w:hint="eastAsia"/>
                <w:color w:val="000000"/>
                <w:szCs w:val="21"/>
                <w:highlight w:val="none"/>
                <w:lang w:val="en-US" w:eastAsia="zh-CN"/>
              </w:rPr>
              <w:t>无</w:t>
            </w:r>
          </w:p>
        </w:tc>
      </w:tr>
      <w:tr>
        <w:tblPrEx>
          <w:tblCellMar>
            <w:top w:w="0" w:type="dxa"/>
            <w:left w:w="108" w:type="dxa"/>
            <w:bottom w:w="0" w:type="dxa"/>
            <w:right w:w="108" w:type="dxa"/>
          </w:tblCellMar>
        </w:tblPrEx>
        <w:trPr>
          <w:trHeight w:val="37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r>
              <w:rPr>
                <w:rFonts w:hint="eastAsia"/>
                <w:color w:val="auto"/>
                <w:szCs w:val="21"/>
                <w:highlight w:val="none"/>
              </w:rPr>
              <w:t>需要补充的其他内容</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bookmarkStart w:id="51" w:name="EBecb6e42771ed4c64b40e62a3af2e8962"/>
            <w:bookmarkEnd w:id="51"/>
            <w:r>
              <w:rPr>
                <w:color w:val="auto"/>
                <w:szCs w:val="21"/>
                <w:highlight w:val="none"/>
              </w:rPr>
              <w:t>见10.5</w:t>
            </w:r>
          </w:p>
        </w:tc>
      </w:tr>
      <w:tr>
        <w:tblPrEx>
          <w:tblCellMar>
            <w:top w:w="0" w:type="dxa"/>
            <w:left w:w="108" w:type="dxa"/>
            <w:bottom w:w="0" w:type="dxa"/>
            <w:right w:w="108" w:type="dxa"/>
          </w:tblCellMar>
        </w:tblPrEx>
        <w:trPr>
          <w:trHeight w:val="40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10.1</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r>
              <w:rPr>
                <w:rFonts w:hint="eastAsia"/>
                <w:color w:val="auto"/>
                <w:szCs w:val="21"/>
                <w:highlight w:val="none"/>
              </w:rPr>
              <w:t>类似项目</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r>
              <w:rPr>
                <w:rFonts w:hint="eastAsia"/>
                <w:color w:val="auto"/>
                <w:szCs w:val="21"/>
                <w:highlight w:val="none"/>
              </w:rPr>
              <w:t>指中标价（或工程规模）</w:t>
            </w:r>
            <w:bookmarkStart w:id="52" w:name="EB274c58b443914dba90b417e5bf2dc9aa"/>
            <w:bookmarkEnd w:id="52"/>
            <w:r>
              <w:rPr>
                <w:rFonts w:hint="eastAsia"/>
                <w:color w:val="auto"/>
                <w:szCs w:val="21"/>
                <w:highlight w:val="none"/>
              </w:rPr>
              <w:t>以上的</w:t>
            </w:r>
            <w:bookmarkStart w:id="53" w:name="EB4f1a72392253425f8f66728ec0e2445d"/>
            <w:bookmarkEnd w:id="53"/>
            <w:r>
              <w:rPr>
                <w:rFonts w:hint="eastAsia"/>
                <w:color w:val="auto"/>
                <w:szCs w:val="21"/>
                <w:highlight w:val="none"/>
              </w:rPr>
              <w:t>、</w:t>
            </w:r>
            <w:bookmarkStart w:id="54" w:name="EB9999520e806440d68a31af9cec2fee78"/>
            <w:bookmarkEnd w:id="54"/>
            <w:r>
              <w:rPr>
                <w:rFonts w:hint="eastAsia"/>
                <w:color w:val="auto"/>
                <w:szCs w:val="21"/>
                <w:highlight w:val="none"/>
                <w:lang w:eastAsia="zh-CN"/>
              </w:rPr>
              <w:t>类似水利工程</w:t>
            </w:r>
            <w:r>
              <w:rPr>
                <w:rFonts w:hint="eastAsia"/>
                <w:color w:val="auto"/>
                <w:szCs w:val="21"/>
                <w:highlight w:val="none"/>
              </w:rPr>
              <w:t>项目</w:t>
            </w:r>
            <w:r>
              <w:rPr>
                <w:color w:val="auto"/>
                <w:szCs w:val="21"/>
                <w:highlight w:val="none"/>
              </w:rPr>
              <w:t>…</w:t>
            </w:r>
          </w:p>
        </w:tc>
      </w:tr>
      <w:tr>
        <w:tblPrEx>
          <w:tblCellMar>
            <w:top w:w="0" w:type="dxa"/>
            <w:left w:w="108" w:type="dxa"/>
            <w:bottom w:w="0" w:type="dxa"/>
            <w:right w:w="108" w:type="dxa"/>
          </w:tblCellMar>
        </w:tblPrEx>
        <w:trPr>
          <w:trHeight w:val="40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10.2</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r>
              <w:rPr>
                <w:rFonts w:hint="eastAsia"/>
                <w:color w:val="auto"/>
                <w:szCs w:val="21"/>
                <w:highlight w:val="none"/>
              </w:rPr>
              <w:t>已标价工程量清单电子版</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u w:val="single"/>
              </w:rPr>
            </w:pPr>
            <w:r>
              <w:rPr>
                <w:rFonts w:hint="eastAsia"/>
                <w:color w:val="auto"/>
                <w:szCs w:val="21"/>
                <w:highlight w:val="none"/>
              </w:rPr>
              <w:t>份数：</w:t>
            </w:r>
            <w:bookmarkStart w:id="55" w:name="EB7334a37ddd894436a68491a7e58a775d"/>
            <w:r>
              <w:rPr>
                <w:rFonts w:hint="eastAsia"/>
                <w:color w:val="auto"/>
                <w:szCs w:val="21"/>
                <w:highlight w:val="none"/>
              </w:rPr>
              <w:t>1份</w:t>
            </w:r>
            <w:bookmarkEnd w:id="55"/>
            <w:r>
              <w:rPr>
                <w:rFonts w:hint="eastAsia"/>
                <w:color w:val="auto"/>
                <w:szCs w:val="21"/>
                <w:highlight w:val="none"/>
              </w:rPr>
              <w:t>；      格式：按电子标要求提供。</w:t>
            </w:r>
          </w:p>
        </w:tc>
      </w:tr>
      <w:tr>
        <w:tblPrEx>
          <w:tblCellMar>
            <w:top w:w="0" w:type="dxa"/>
            <w:left w:w="108" w:type="dxa"/>
            <w:bottom w:w="0" w:type="dxa"/>
            <w:right w:w="108" w:type="dxa"/>
          </w:tblCellMar>
        </w:tblPrEx>
        <w:trPr>
          <w:trHeight w:val="754"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10.3</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原件</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bookmarkStart w:id="56" w:name="EBd35d675f1d164883a190e5a6ed6e203f"/>
            <w:r>
              <w:rPr>
                <w:rFonts w:hint="eastAsia" w:ascii="宋体" w:hAnsi="宋体"/>
                <w:color w:val="auto"/>
                <w:szCs w:val="21"/>
                <w:highlight w:val="white"/>
              </w:rPr>
              <w:t>□</w:t>
            </w:r>
            <w:bookmarkEnd w:id="56"/>
            <w:r>
              <w:rPr>
                <w:rFonts w:hint="eastAsia" w:ascii="宋体" w:hAnsi="宋体"/>
                <w:color w:val="auto"/>
                <w:szCs w:val="21"/>
                <w:highlight w:val="white"/>
              </w:rPr>
              <w:t>提交</w:t>
            </w:r>
          </w:p>
          <w:p>
            <w:pPr>
              <w:spacing w:line="400" w:lineRule="exact"/>
              <w:rPr>
                <w:color w:val="auto"/>
                <w:szCs w:val="21"/>
              </w:rPr>
            </w:pPr>
            <w:bookmarkStart w:id="57" w:name="EB46014aa6f4164f5c825f4ffd1c2bdf79"/>
            <w:r>
              <w:rPr>
                <w:rFonts w:hint="eastAsia"/>
                <w:color w:val="auto"/>
                <w:szCs w:val="21"/>
                <w:highlight w:val="white"/>
              </w:rPr>
              <w:t>☑</w:t>
            </w:r>
            <w:bookmarkEnd w:id="57"/>
            <w:r>
              <w:rPr>
                <w:rFonts w:hint="eastAsia"/>
                <w:color w:val="auto"/>
                <w:szCs w:val="21"/>
                <w:highlight w:val="white"/>
              </w:rPr>
              <w:t>不提交</w:t>
            </w:r>
          </w:p>
        </w:tc>
      </w:tr>
      <w:tr>
        <w:tblPrEx>
          <w:tblCellMar>
            <w:top w:w="0" w:type="dxa"/>
            <w:left w:w="108" w:type="dxa"/>
            <w:bottom w:w="0" w:type="dxa"/>
            <w:right w:w="108" w:type="dxa"/>
          </w:tblCellMar>
        </w:tblPrEx>
        <w:trPr>
          <w:trHeight w:val="40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szCs w:val="21"/>
                <w:highlight w:val="white"/>
              </w:rPr>
              <w:t>10.4</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highlight w:val="white"/>
              </w:rPr>
              <w:t>中标后须提交的投标文件</w:t>
            </w:r>
          </w:p>
        </w:tc>
        <w:tc>
          <w:tcPr>
            <w:tcW w:w="3233"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份数：</w:t>
            </w:r>
            <w:bookmarkStart w:id="58" w:name="EB2a103623e626401c89893d1e52dd97c4"/>
            <w:r>
              <w:rPr>
                <w:rFonts w:hint="eastAsia" w:ascii="宋体" w:hAnsi="宋体"/>
                <w:color w:val="auto"/>
                <w:szCs w:val="21"/>
                <w:highlight w:val="none"/>
              </w:rPr>
              <w:t>投标单位须在中标后向招标代理公司另行提交纸质版投标文件</w:t>
            </w:r>
            <w:r>
              <w:rPr>
                <w:rFonts w:hint="eastAsia" w:ascii="宋体" w:hAnsi="宋体"/>
                <w:color w:val="auto"/>
                <w:szCs w:val="21"/>
                <w:highlight w:val="none"/>
                <w:lang w:val="en-US" w:eastAsia="zh-CN"/>
              </w:rPr>
              <w:t>4</w:t>
            </w:r>
            <w:r>
              <w:rPr>
                <w:rFonts w:hint="eastAsia" w:ascii="宋体" w:hAnsi="宋体"/>
                <w:color w:val="auto"/>
                <w:szCs w:val="21"/>
                <w:highlight w:val="none"/>
              </w:rPr>
              <w:t>副，纸质投标文件和电子投标文件必须与上传电子投标文件内容完全一致。因其不一致产生的一切 后果由投标人自行负责。纸质投标文件合订装订，每册采用胶装方式装订，装订应牢固，不易拆散和换页，不得采用活页装订。</w:t>
            </w:r>
            <w:bookmarkEnd w:id="58"/>
          </w:p>
        </w:tc>
      </w:tr>
      <w:tr>
        <w:tblPrEx>
          <w:tblCellMar>
            <w:top w:w="0" w:type="dxa"/>
            <w:left w:w="108" w:type="dxa"/>
            <w:bottom w:w="0" w:type="dxa"/>
            <w:right w:w="108" w:type="dxa"/>
          </w:tblCellMar>
        </w:tblPrEx>
        <w:trPr>
          <w:trHeight w:val="40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highlight w:val="none"/>
              </w:rPr>
            </w:pPr>
            <w:bookmarkStart w:id="59" w:name="EB7fe7f01a7c154234810322614faf572d"/>
            <w:r>
              <w:rPr>
                <w:rFonts w:hint="eastAsia"/>
                <w:color w:val="auto"/>
                <w:szCs w:val="21"/>
                <w:highlight w:val="none"/>
              </w:rPr>
              <w:t>10.5</w:t>
            </w:r>
            <w:bookmarkEnd w:id="59"/>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bookmarkStart w:id="60" w:name="EBd38496b26d594e0b8dcdf5ba1a2c938f"/>
            <w:r>
              <w:rPr>
                <w:rFonts w:hint="eastAsia"/>
                <w:color w:val="auto"/>
                <w:szCs w:val="21"/>
                <w:highlight w:val="none"/>
              </w:rPr>
              <w:t>其他</w:t>
            </w:r>
            <w:bookmarkEnd w:id="60"/>
          </w:p>
        </w:tc>
        <w:tc>
          <w:tcPr>
            <w:tcW w:w="3233"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rPr>
                <w:rFonts w:hint="eastAsia" w:ascii="宋体" w:hAnsi="Times New Roman" w:eastAsia="宋体" w:cs="宋体"/>
                <w:color w:val="auto"/>
                <w:kern w:val="0"/>
                <w:sz w:val="21"/>
                <w:szCs w:val="21"/>
                <w:highlight w:val="none"/>
                <w:lang w:val="en-US" w:eastAsia="zh-CN" w:bidi="ar-SA"/>
              </w:rPr>
            </w:pPr>
            <w:bookmarkStart w:id="61" w:name="EB3f6210f6ba454a419e6e54ac1adbfbc7"/>
            <w:r>
              <w:rPr>
                <w:rFonts w:hint="eastAsia" w:ascii="宋体" w:hAnsi="Times New Roman" w:eastAsia="宋体" w:cs="宋体"/>
                <w:color w:val="auto"/>
                <w:kern w:val="0"/>
                <w:sz w:val="21"/>
                <w:szCs w:val="21"/>
                <w:highlight w:val="none"/>
                <w:lang w:val="en-US" w:eastAsia="zh-CN" w:bidi="ar-SA"/>
              </w:rPr>
              <w:t>本项目最高限价：</w:t>
            </w:r>
            <w:r>
              <w:rPr>
                <w:rFonts w:hint="eastAsia" w:ascii="宋体" w:hAnsi="Times New Roman" w:cs="宋体"/>
                <w:color w:val="auto"/>
                <w:kern w:val="0"/>
                <w:sz w:val="21"/>
                <w:szCs w:val="21"/>
                <w:highlight w:val="none"/>
                <w:lang w:val="en-US" w:eastAsia="zh-CN" w:bidi="ar-SA"/>
              </w:rPr>
              <w:t xml:space="preserve">   </w:t>
            </w:r>
            <w:r>
              <w:rPr>
                <w:rFonts w:hint="eastAsia" w:ascii="宋体" w:hAnsi="Times New Roman" w:eastAsia="宋体" w:cs="宋体"/>
                <w:color w:val="auto"/>
                <w:kern w:val="0"/>
                <w:sz w:val="21"/>
                <w:szCs w:val="21"/>
                <w:highlight w:val="none"/>
                <w:lang w:val="en-US" w:eastAsia="zh-CN" w:bidi="ar-SA"/>
              </w:rPr>
              <w:t>元。</w:t>
            </w:r>
          </w:p>
          <w:p>
            <w:pPr>
              <w:numPr>
                <w:ilvl w:val="0"/>
                <w:numId w:val="0"/>
              </w:num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投标人的投标价超过该工程最高限价的按无效标处理。</w:t>
            </w:r>
          </w:p>
          <w:bookmarkEnd w:id="61"/>
          <w:p>
            <w:pPr>
              <w:pStyle w:val="141"/>
              <w:rPr>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、合同方式：本工程采用</w:t>
            </w:r>
            <w:r>
              <w:rPr>
                <w:rFonts w:hint="eastAsia"/>
                <w:color w:val="auto"/>
                <w:sz w:val="21"/>
                <w:szCs w:val="21"/>
                <w:highlight w:val="none"/>
                <w:lang w:eastAsia="zh-CN"/>
              </w:rPr>
              <w:t>固定单价</w:t>
            </w:r>
            <w:r>
              <w:rPr>
                <w:rFonts w:hint="eastAsia"/>
                <w:color w:val="auto"/>
                <w:sz w:val="21"/>
                <w:szCs w:val="21"/>
                <w:highlight w:val="none"/>
              </w:rPr>
              <w:t>合同（固定综合单价不因时间、物价国家政策等的变化而变化，风险费用包括在中标综合单价之内）。</w:t>
            </w:r>
          </w:p>
          <w:p>
            <w:pPr>
              <w:pStyle w:val="141"/>
              <w:rPr>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、清单内项目结算：</w:t>
            </w:r>
          </w:p>
          <w:p>
            <w:pPr>
              <w:pStyle w:val="141"/>
              <w:rPr>
                <w:color w:val="auto"/>
                <w:sz w:val="21"/>
                <w:szCs w:val="21"/>
                <w:highlight w:val="none"/>
              </w:rPr>
            </w:pPr>
            <w:r>
              <w:rPr>
                <w:rFonts w:hint="eastAsia"/>
                <w:color w:val="auto"/>
                <w:sz w:val="21"/>
                <w:szCs w:val="21"/>
                <w:highlight w:val="none"/>
              </w:rPr>
              <w:t>付款以审核认定的实际完成工程量为依据，乘以工程量清单中综合单价得出结算费用支付给中标人。</w:t>
            </w:r>
          </w:p>
          <w:p>
            <w:pPr>
              <w:pStyle w:val="141"/>
              <w:rPr>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、新增加项目结算：</w:t>
            </w:r>
          </w:p>
          <w:p>
            <w:pPr>
              <w:pStyle w:val="141"/>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）任何新增加项目的施工须经业主事先认可，中标人不得先施工，后以即成事实追索费用。否则，业主有权拒绝。</w:t>
            </w:r>
          </w:p>
          <w:p>
            <w:pPr>
              <w:pStyle w:val="141"/>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）新增加项目由承包人在施工后向监理工程师提交报告，详细说明、新增加项目的内容及工程量。所有新增加项目在工程竣工结算时统一结算。</w:t>
            </w:r>
          </w:p>
          <w:p>
            <w:pPr>
              <w:pStyle w:val="141"/>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）当发生新增加项目时，其结算按下列优先顺序计算。</w:t>
            </w:r>
          </w:p>
          <w:p>
            <w:pPr>
              <w:pStyle w:val="141"/>
              <w:rPr>
                <w:color w:val="auto"/>
                <w:sz w:val="21"/>
                <w:szCs w:val="21"/>
                <w:highlight w:val="none"/>
              </w:rPr>
            </w:pPr>
            <w:r>
              <w:rPr>
                <w:color w:val="auto"/>
                <w:sz w:val="21"/>
                <w:szCs w:val="21"/>
                <w:highlight w:val="none"/>
              </w:rPr>
              <w:t>a</w:t>
            </w:r>
            <w:r>
              <w:rPr>
                <w:rFonts w:hint="eastAsia"/>
                <w:color w:val="auto"/>
                <w:sz w:val="21"/>
                <w:szCs w:val="21"/>
                <w:highlight w:val="none"/>
              </w:rPr>
              <w:t>、清单中已有的适用于新增加项目的价格，按已有价格计算，工程量的确定须经业主认可；</w:t>
            </w:r>
          </w:p>
          <w:p>
            <w:pPr>
              <w:pStyle w:val="13"/>
              <w:rPr>
                <w:color w:val="auto"/>
                <w:sz w:val="21"/>
                <w:szCs w:val="21"/>
                <w:highlight w:val="none"/>
              </w:rPr>
            </w:pPr>
            <w:r>
              <w:rPr>
                <w:color w:val="auto"/>
                <w:szCs w:val="21"/>
                <w:highlight w:val="none"/>
              </w:rPr>
              <w:t>b</w:t>
            </w:r>
            <w:r>
              <w:rPr>
                <w:rFonts w:hint="eastAsia" w:ascii="宋体" w:cs="宋体"/>
                <w:color w:val="auto"/>
                <w:szCs w:val="21"/>
                <w:highlight w:val="none"/>
              </w:rPr>
              <w:t>、清单中有类似于新增加项目的价格，可以此为基础经业主与中标人协商确定出新增</w:t>
            </w:r>
            <w:r>
              <w:rPr>
                <w:rFonts w:hint="eastAsia"/>
                <w:color w:val="auto"/>
                <w:sz w:val="21"/>
                <w:szCs w:val="21"/>
                <w:highlight w:val="none"/>
              </w:rPr>
              <w:t>加项目的价格，工程量的确定须经业主认可；</w:t>
            </w:r>
          </w:p>
          <w:p>
            <w:pPr>
              <w:pStyle w:val="141"/>
              <w:rPr>
                <w:rFonts w:hAnsi="Calibri"/>
                <w:color w:val="auto"/>
                <w:sz w:val="21"/>
                <w:szCs w:val="21"/>
                <w:highlight w:val="none"/>
              </w:rPr>
            </w:pPr>
            <w:r>
              <w:rPr>
                <w:rFonts w:ascii="Calibri" w:hAnsi="Calibri" w:cs="Calibri"/>
                <w:color w:val="auto"/>
                <w:sz w:val="21"/>
                <w:szCs w:val="21"/>
                <w:highlight w:val="none"/>
              </w:rPr>
              <w:t>c</w:t>
            </w:r>
            <w:r>
              <w:rPr>
                <w:rFonts w:hint="eastAsia" w:hAnsi="Calibri"/>
                <w:color w:val="auto"/>
                <w:sz w:val="21"/>
                <w:szCs w:val="21"/>
                <w:highlight w:val="none"/>
              </w:rPr>
              <w:t>、清单中没有适用或类似价格项目的结算。以财政审核中心最终审定的综合单价金额为准。</w:t>
            </w:r>
          </w:p>
          <w:p>
            <w:pPr>
              <w:pStyle w:val="141"/>
              <w:rPr>
                <w:rFonts w:hAnsi="Calibri"/>
                <w:color w:val="auto"/>
                <w:sz w:val="21"/>
                <w:szCs w:val="21"/>
                <w:highlight w:val="none"/>
              </w:rPr>
            </w:pPr>
            <w:r>
              <w:rPr>
                <w:rFonts w:hint="eastAsia" w:ascii="Calibri" w:hAnsi="Calibri" w:cs="Calibri"/>
                <w:color w:val="auto"/>
                <w:sz w:val="21"/>
                <w:szCs w:val="21"/>
                <w:highlight w:val="none"/>
                <w:lang w:val="en-US" w:eastAsia="zh-CN"/>
              </w:rPr>
              <w:t>4</w:t>
            </w:r>
            <w:r>
              <w:rPr>
                <w:rFonts w:hint="eastAsia" w:hAnsi="Calibri"/>
                <w:color w:val="auto"/>
                <w:sz w:val="21"/>
                <w:szCs w:val="21"/>
                <w:highlight w:val="none"/>
              </w:rPr>
              <w:t>、工程量的确认：</w:t>
            </w:r>
          </w:p>
          <w:p>
            <w:pPr>
              <w:pStyle w:val="141"/>
              <w:rPr>
                <w:rFonts w:hAnsi="Calibri"/>
                <w:color w:val="auto"/>
                <w:sz w:val="21"/>
                <w:szCs w:val="21"/>
                <w:highlight w:val="none"/>
              </w:rPr>
            </w:pPr>
            <w:r>
              <w:rPr>
                <w:rFonts w:hint="eastAsia" w:hAnsi="Calibri"/>
                <w:color w:val="auto"/>
                <w:sz w:val="21"/>
                <w:szCs w:val="21"/>
                <w:highlight w:val="none"/>
              </w:rPr>
              <w:t>承包人应按合同条款约定的时间，向工程师提交已完工程量的报告。工程师接到报告后</w:t>
            </w:r>
            <w:r>
              <w:rPr>
                <w:rFonts w:ascii="Calibri" w:hAnsi="Calibri" w:cs="Calibri"/>
                <w:color w:val="auto"/>
                <w:sz w:val="21"/>
                <w:szCs w:val="21"/>
                <w:highlight w:val="none"/>
              </w:rPr>
              <w:t xml:space="preserve">7 </w:t>
            </w:r>
            <w:r>
              <w:rPr>
                <w:rFonts w:hint="eastAsia" w:hAnsi="Calibri"/>
                <w:color w:val="auto"/>
                <w:sz w:val="21"/>
                <w:szCs w:val="21"/>
                <w:highlight w:val="none"/>
              </w:rPr>
              <w:t>天内按设计图纸及实际核定已完工程量，计量结果有效，作为工程价款支付的依据。</w:t>
            </w:r>
          </w:p>
          <w:p>
            <w:pPr>
              <w:spacing w:line="360" w:lineRule="auto"/>
              <w:rPr>
                <w:rFonts w:hint="eastAsia" w:ascii="宋体" w:hAnsi="宋体" w:eastAsia="宋体" w:cs="宋体"/>
                <w:color w:val="auto"/>
                <w:kern w:val="0"/>
                <w:sz w:val="21"/>
                <w:szCs w:val="21"/>
                <w:highlight w:val="none"/>
                <w:lang w:val="en-US" w:eastAsia="zh-CN" w:bidi="ar"/>
              </w:rPr>
            </w:pPr>
            <w:r>
              <w:rPr>
                <w:rFonts w:hint="eastAsia" w:hAnsi="Calibri"/>
                <w:color w:val="auto"/>
                <w:sz w:val="21"/>
                <w:szCs w:val="21"/>
                <w:highlight w:val="none"/>
                <w:lang w:val="en-US" w:eastAsia="zh-CN"/>
              </w:rPr>
              <w:t>5、</w:t>
            </w:r>
            <w:r>
              <w:rPr>
                <w:rFonts w:hint="eastAsia" w:hAnsi="Calibri"/>
                <w:color w:val="auto"/>
                <w:sz w:val="21"/>
                <w:szCs w:val="21"/>
                <w:highlight w:val="none"/>
              </w:rPr>
              <w:t>付款方式：</w:t>
            </w:r>
            <w:r>
              <w:rPr>
                <w:rFonts w:hint="eastAsia" w:ascii="宋体" w:hAnsi="宋体" w:cs="宋体"/>
                <w:color w:val="auto"/>
                <w:highlight w:val="none"/>
              </w:rPr>
              <w:t>按工程进度付款，完成工程量的60%，支付合同价款的50%，工程完工并经合同验收合格后支付到合同价款的80%，工程竣工验收合格后按审计价结算剩余合同价款，</w:t>
            </w:r>
            <w:r>
              <w:rPr>
                <w:rFonts w:hint="eastAsia" w:ascii="宋体" w:hAnsi="宋体" w:cs="宋体"/>
                <w:color w:val="auto"/>
                <w:szCs w:val="21"/>
                <w:highlight w:val="none"/>
              </w:rPr>
              <w:t>扣留</w:t>
            </w:r>
            <w:r>
              <w:rPr>
                <w:rFonts w:hint="eastAsia" w:ascii="宋体" w:hAnsi="宋体" w:cs="宋体"/>
                <w:color w:val="auto"/>
                <w:highlight w:val="none"/>
                <w:lang w:val="en-US" w:eastAsia="zh-CN"/>
              </w:rPr>
              <w:t>2</w:t>
            </w:r>
            <w:r>
              <w:rPr>
                <w:rFonts w:hint="eastAsia" w:ascii="宋体" w:hAnsi="宋体" w:cs="宋体"/>
                <w:color w:val="auto"/>
                <w:highlight w:val="none"/>
              </w:rPr>
              <w:t>%质保金在质保期（1年）结束后一次性付清，不计利息</w:t>
            </w:r>
            <w:r>
              <w:rPr>
                <w:rFonts w:hint="eastAsia" w:ascii="宋体" w:hAnsi="宋体" w:eastAsia="宋体" w:cs="宋体"/>
                <w:color w:val="auto"/>
                <w:kern w:val="0"/>
                <w:sz w:val="21"/>
                <w:szCs w:val="21"/>
                <w:highlight w:val="none"/>
                <w:lang w:val="en-US" w:eastAsia="zh-CN" w:bidi="ar"/>
              </w:rPr>
              <w:t>。</w:t>
            </w:r>
          </w:p>
          <w:p>
            <w:pPr>
              <w:spacing w:line="360" w:lineRule="auto"/>
              <w:rPr>
                <w:rFonts w:hint="eastAsia"/>
                <w:color w:val="auto"/>
                <w:highlight w:val="none"/>
              </w:rPr>
            </w:pPr>
            <w:r>
              <w:rPr>
                <w:rFonts w:hint="eastAsia" w:ascii="Calibri" w:hAnsi="Calibri" w:cs="Calibri"/>
                <w:color w:val="auto"/>
                <w:sz w:val="21"/>
                <w:szCs w:val="21"/>
                <w:highlight w:val="none"/>
                <w:lang w:val="en-US" w:eastAsia="zh-CN"/>
              </w:rPr>
              <w:t>6</w:t>
            </w:r>
            <w:r>
              <w:rPr>
                <w:rFonts w:hint="eastAsia" w:hAnsi="Calibri"/>
                <w:color w:val="auto"/>
                <w:sz w:val="21"/>
                <w:szCs w:val="21"/>
                <w:highlight w:val="none"/>
              </w:rPr>
              <w:t>、农民工工资保证金：按辽人社</w:t>
            </w:r>
            <w:r>
              <w:rPr>
                <w:rFonts w:ascii="Calibri" w:hAnsi="Calibri" w:cs="Calibri"/>
                <w:color w:val="auto"/>
                <w:sz w:val="21"/>
                <w:szCs w:val="21"/>
                <w:highlight w:val="none"/>
              </w:rPr>
              <w:t xml:space="preserve">[2022]5 </w:t>
            </w:r>
            <w:r>
              <w:rPr>
                <w:rFonts w:hint="eastAsia" w:hAnsi="Calibri"/>
                <w:color w:val="auto"/>
                <w:sz w:val="21"/>
                <w:szCs w:val="21"/>
                <w:highlight w:val="none"/>
              </w:rPr>
              <w:t>号文件规定执行。</w:t>
            </w:r>
            <w:r>
              <w:rPr>
                <w:rFonts w:hint="eastAsia"/>
                <w:color w:val="auto"/>
                <w:highlight w:val="none"/>
              </w:rPr>
              <w:t>农民工工资：按照《保障农民工工资支付条例》,进行农民工管理。中标人在中标合同签订后15日内需持中标通知书到项目建设所在地人社劳动部门办理存储农民工工资保证金相关手续。施工单位在指定银行设立农民工工资专用账户,实行农民工工资银行代发制。 农民工实名制管理,先签合同后进场, 工资月结月清。施工单位制定工资支付台账,现场设立农民工维权信息告示牌。</w:t>
            </w:r>
            <w:r>
              <w:rPr>
                <w:rFonts w:hint="eastAsia"/>
                <w:color w:val="auto"/>
                <w:highlight w:val="none"/>
                <w:lang w:eastAsia="zh-CN"/>
              </w:rPr>
              <w:t>若</w:t>
            </w:r>
            <w:r>
              <w:rPr>
                <w:rFonts w:hint="eastAsia"/>
                <w:color w:val="auto"/>
                <w:highlight w:val="none"/>
              </w:rPr>
              <w:t>合同签订后15日内</w:t>
            </w:r>
            <w:r>
              <w:rPr>
                <w:rFonts w:hint="eastAsia"/>
                <w:color w:val="auto"/>
                <w:highlight w:val="none"/>
                <w:lang w:eastAsia="zh-CN"/>
              </w:rPr>
              <w:t>不能缴纳</w:t>
            </w:r>
            <w:r>
              <w:rPr>
                <w:rFonts w:hint="eastAsia"/>
                <w:color w:val="auto"/>
                <w:highlight w:val="none"/>
              </w:rPr>
              <w:t>农民工工资保证金，</w:t>
            </w:r>
            <w:r>
              <w:rPr>
                <w:rFonts w:hint="eastAsia"/>
                <w:color w:val="auto"/>
                <w:highlight w:val="none"/>
                <w:lang w:eastAsia="zh-CN"/>
              </w:rPr>
              <w:t>视为放弃中标，</w:t>
            </w:r>
            <w:r>
              <w:rPr>
                <w:rFonts w:hint="eastAsia"/>
                <w:color w:val="auto"/>
                <w:highlight w:val="none"/>
              </w:rPr>
              <w:t>解除</w:t>
            </w:r>
            <w:r>
              <w:rPr>
                <w:rFonts w:hint="eastAsia"/>
                <w:color w:val="auto"/>
                <w:highlight w:val="none"/>
                <w:lang w:eastAsia="zh-CN"/>
              </w:rPr>
              <w:t>签订</w:t>
            </w:r>
            <w:r>
              <w:rPr>
                <w:rFonts w:hint="eastAsia"/>
                <w:color w:val="auto"/>
                <w:highlight w:val="none"/>
              </w:rPr>
              <w:t>合同</w:t>
            </w:r>
            <w:r>
              <w:rPr>
                <w:rFonts w:hint="eastAsia"/>
                <w:color w:val="auto"/>
                <w:highlight w:val="none"/>
                <w:lang w:eastAsia="zh-CN"/>
              </w:rPr>
              <w:t>。</w:t>
            </w:r>
            <w:r>
              <w:rPr>
                <w:rFonts w:hint="eastAsia"/>
                <w:color w:val="auto"/>
                <w:highlight w:val="none"/>
              </w:rPr>
              <w:t xml:space="preserve">投标人必须填写“不拖欠农民工工资承诺书”，并且放至投标所需其他材料中，如未填写其投标文件按废标处理。 </w:t>
            </w:r>
          </w:p>
          <w:p>
            <w:pPr>
              <w:spacing w:line="360" w:lineRule="auto"/>
              <w:rPr>
                <w:rFonts w:hint="eastAsia"/>
                <w:color w:val="auto"/>
                <w:highlight w:val="none"/>
              </w:rPr>
            </w:pPr>
            <w:r>
              <w:rPr>
                <w:rFonts w:hint="eastAsia"/>
                <w:color w:val="auto"/>
                <w:highlight w:val="none"/>
                <w:lang w:val="en-US" w:eastAsia="zh-CN"/>
              </w:rPr>
              <w:t>7、.</w:t>
            </w:r>
            <w:r>
              <w:rPr>
                <w:rFonts w:hint="eastAsia"/>
                <w:color w:val="auto"/>
                <w:highlight w:val="none"/>
              </w:rPr>
              <w:t>拟派项目部成员要求投标人对拟派项目部成员（由项目经理、技术负责人、施工员、质检员、安全员、材料员、资料员或档案员组成）作出“项目部成员施工现场服务承诺书”（格式自拟，加盖单位公章、法定代表人签字），投标人在装订投标文件时将其放入其他材料中，项目部成员必须受聘并注册于投标单位，不得同时在两个及两个以上的在建项目上任职。</w:t>
            </w:r>
          </w:p>
          <w:p>
            <w:pPr>
              <w:spacing w:line="360" w:lineRule="auto"/>
              <w:rPr>
                <w:rFonts w:hint="eastAsia"/>
                <w:color w:val="auto"/>
                <w:highlight w:val="none"/>
              </w:rPr>
            </w:pPr>
            <w:r>
              <w:rPr>
                <w:rFonts w:hint="eastAsia"/>
                <w:color w:val="auto"/>
                <w:highlight w:val="none"/>
              </w:rPr>
              <w:t>本工程要求项目部成员必须到施工现场进行工作，将严格执行有关现场考勤等相关规定，本工程将施行现场人脸识别打卡制度等，具体规定以招标人要求为准，对有不按投标约定配置项目部成员、借用资质、项目部成员现场考核时间不满足要求等的投标人及中标人，招标人有权将其上报给有关部门将其纳入黑名单；由此给招标人造成的损失全部由责任人承担。</w:t>
            </w:r>
          </w:p>
          <w:p>
            <w:pPr>
              <w:numPr>
                <w:ilvl w:val="0"/>
                <w:numId w:val="0"/>
              </w:numPr>
              <w:spacing w:line="360" w:lineRule="auto"/>
              <w:rPr>
                <w:rFonts w:hint="default"/>
                <w:color w:val="auto"/>
                <w:highlight w:val="none"/>
                <w:lang w:val="en-US" w:eastAsia="zh-CN"/>
              </w:rPr>
            </w:pPr>
            <w:r>
              <w:rPr>
                <w:rFonts w:hint="default"/>
                <w:color w:val="auto"/>
                <w:highlight w:val="none"/>
                <w:lang w:val="en-US" w:eastAsia="zh-CN"/>
              </w:rPr>
              <w:t xml:space="preserve">工期进度要求：如果乙方施工进度未达到合同要求，经甲方督促后且5天后仍未达到施工进度要求的，甲方将与其终止施工合同，由其它施工单位（按进度已完成）继续施工，并且甲方将按《水利建设市场主体信用信息管理办法》相关规定将乙方的不良行为记录信息报送至全国水利建设市场监管服务平台。 </w:t>
            </w:r>
          </w:p>
          <w:p>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Calibri" w:hAnsi="Calibri" w:cs="Calibri"/>
                <w:color w:val="auto"/>
                <w:sz w:val="21"/>
                <w:szCs w:val="21"/>
                <w:highlight w:val="none"/>
                <w:lang w:val="en-US" w:eastAsia="zh-CN"/>
              </w:rPr>
              <w:t>8</w:t>
            </w:r>
            <w:r>
              <w:rPr>
                <w:rFonts w:hint="eastAsia" w:hAnsi="Calibri"/>
                <w:color w:val="auto"/>
                <w:sz w:val="21"/>
                <w:szCs w:val="21"/>
                <w:highlight w:val="none"/>
              </w:rPr>
              <w:t>、</w:t>
            </w:r>
            <w:r>
              <w:rPr>
                <w:rFonts w:hint="eastAsia" w:ascii="宋体" w:hAnsi="宋体" w:eastAsia="宋体" w:cs="宋体"/>
                <w:color w:val="auto"/>
                <w:kern w:val="0"/>
                <w:sz w:val="21"/>
                <w:szCs w:val="21"/>
                <w:highlight w:val="none"/>
                <w:lang w:val="en-US" w:eastAsia="zh-CN" w:bidi="ar"/>
              </w:rPr>
              <w:t>招标代理服务费：本项目招标代理服务费由中标人向招标代理机构支付。 招标代理费计入投标报价中，不单独列项，中标人支付中标金额的1</w:t>
            </w:r>
            <w:r>
              <w:rPr>
                <w:rFonts w:ascii="Calibri" w:hAnsi="Calibri" w:eastAsia="宋体" w:cs="Calibri"/>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。若拒绝交纳或不按时交纳中标服务费的，招标人将取消其中标资格，并没收其投标保证金。</w:t>
            </w:r>
          </w:p>
          <w:p>
            <w:pPr>
              <w:pStyle w:val="141"/>
              <w:spacing w:line="360" w:lineRule="auto"/>
              <w:rPr>
                <w:rFonts w:hAnsi="Calibri"/>
                <w:color w:val="auto"/>
                <w:sz w:val="21"/>
                <w:szCs w:val="21"/>
                <w:highlight w:val="none"/>
              </w:rPr>
            </w:pPr>
            <w:r>
              <w:rPr>
                <w:rFonts w:hint="eastAsia" w:ascii="Calibri" w:hAnsi="Calibri" w:cs="Calibri"/>
                <w:color w:val="auto"/>
                <w:sz w:val="21"/>
                <w:szCs w:val="21"/>
                <w:highlight w:val="none"/>
                <w:lang w:val="en-US" w:eastAsia="zh-CN"/>
              </w:rPr>
              <w:t>9</w:t>
            </w:r>
            <w:r>
              <w:rPr>
                <w:rFonts w:hint="eastAsia" w:hAnsi="Calibri"/>
                <w:color w:val="auto"/>
                <w:sz w:val="21"/>
                <w:szCs w:val="21"/>
                <w:highlight w:val="none"/>
              </w:rPr>
              <w:t>、本项目以网络电子开标为主，现场纸质开标为辅。电子投标文件采用单位和个人数字证书，按招标文件要求在相应位置加盖电子印章。现场递交纸质投标文件盖章位置及要求同电子投标文件，加盖单位具有防伪编码公章，法定代表人及授权委托人按照要求签字或盖章。</w:t>
            </w:r>
          </w:p>
          <w:p>
            <w:pPr>
              <w:pStyle w:val="141"/>
              <w:spacing w:line="360" w:lineRule="auto"/>
              <w:rPr>
                <w:rFonts w:hAnsi="Calibri"/>
                <w:color w:val="auto"/>
                <w:sz w:val="21"/>
                <w:szCs w:val="21"/>
                <w:highlight w:val="none"/>
              </w:rPr>
            </w:pPr>
            <w:r>
              <w:rPr>
                <w:rFonts w:hint="eastAsia" w:ascii="Calibri" w:hAnsi="Calibri" w:cs="Calibri"/>
                <w:color w:val="auto"/>
                <w:sz w:val="21"/>
                <w:szCs w:val="21"/>
                <w:highlight w:val="none"/>
                <w:lang w:val="en-US" w:eastAsia="zh-CN"/>
              </w:rPr>
              <w:t>10</w:t>
            </w:r>
            <w:r>
              <w:rPr>
                <w:rFonts w:hint="eastAsia" w:hAnsi="Calibri"/>
                <w:color w:val="auto"/>
                <w:sz w:val="21"/>
                <w:szCs w:val="21"/>
                <w:highlight w:val="none"/>
              </w:rPr>
              <w:t>、投标文件不允许偏离招标文件的实质性要求和条件，不得递交备选投标方案，否则视为不响应招标文件，做废标处理。</w:t>
            </w:r>
          </w:p>
          <w:p>
            <w:pPr>
              <w:pStyle w:val="13"/>
              <w:spacing w:line="360" w:lineRule="auto"/>
              <w:rPr>
                <w:rFonts w:hAnsi="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lang w:val="en-US" w:eastAsia="zh-CN"/>
              </w:rPr>
              <w:t>1</w:t>
            </w:r>
            <w:r>
              <w:rPr>
                <w:rFonts w:hint="eastAsia" w:hAnsi="Calibri"/>
                <w:color w:val="auto"/>
                <w:szCs w:val="21"/>
                <w:highlight w:val="none"/>
              </w:rPr>
              <w:t>、本次电子招标文件为试运行版本，试运行期间，电子投标与纸质投标并行，招投标文件制作及开评标环节以电子方式为主，纸质方式为辅，故纸质投标文件递交截止时间同电子投标文件递交截止时间，未按照要求进行现场递交签到的视为放弃投标，电子投标文件退回处理。一旦电子化流程出现不可预见问题，即转为纸质流程。如若招标公告与投标须知前附表不一致，以投标须知前附表为准，投标须知前附表与投标人须知正文不一致时，以投标须知前附表的规定为准，招标文件与签订的施工合同不一致时以施工合同为准。评标办法前附表和评分标准格式与评标方法、标准及程序说明不一致的，以评标办法前附表和评分标准格式为准。</w:t>
            </w:r>
          </w:p>
          <w:p>
            <w:pPr>
              <w:pStyle w:val="141"/>
              <w:spacing w:line="360" w:lineRule="auto"/>
              <w:rPr>
                <w:rFonts w:hint="eastAsia"/>
                <w:color w:val="auto"/>
                <w:sz w:val="21"/>
                <w:szCs w:val="21"/>
                <w:highlight w:val="none"/>
              </w:rPr>
            </w:pPr>
            <w:r>
              <w:rPr>
                <w:color w:val="auto"/>
                <w:sz w:val="21"/>
                <w:szCs w:val="21"/>
                <w:highlight w:val="none"/>
              </w:rPr>
              <w:t>1</w:t>
            </w:r>
            <w:r>
              <w:rPr>
                <w:rFonts w:hint="eastAsia"/>
                <w:color w:val="auto"/>
                <w:sz w:val="21"/>
                <w:szCs w:val="21"/>
                <w:highlight w:val="none"/>
                <w:lang w:val="en-US" w:eastAsia="zh-CN"/>
              </w:rPr>
              <w:t>2</w:t>
            </w:r>
            <w:r>
              <w:rPr>
                <w:rFonts w:hint="eastAsia"/>
                <w:color w:val="auto"/>
                <w:sz w:val="21"/>
                <w:szCs w:val="21"/>
                <w:highlight w:val="none"/>
              </w:rPr>
              <w:t>、请随时关注辽宁省招标投标监管网和辽宁省公共资源交易网发布的变更公告或澄清答疑文件，如因未关注而发生的任何问题，由投标人自行负责。</w:t>
            </w:r>
          </w:p>
          <w:p>
            <w:pPr>
              <w:pStyle w:val="141"/>
              <w:spacing w:line="360" w:lineRule="auto"/>
              <w:rPr>
                <w:rFonts w:hint="default" w:eastAsia="宋体"/>
                <w:color w:val="auto"/>
                <w:sz w:val="21"/>
                <w:szCs w:val="21"/>
                <w:highlight w:val="none"/>
                <w:lang w:val="en-US" w:eastAsia="zh-CN"/>
              </w:rPr>
            </w:pPr>
            <w:r>
              <w:rPr>
                <w:rFonts w:hint="eastAsia"/>
                <w:color w:val="auto"/>
                <w:sz w:val="21"/>
                <w:szCs w:val="21"/>
                <w:highlight w:val="none"/>
                <w:lang w:val="en-US" w:eastAsia="zh-CN"/>
              </w:rPr>
              <w:t>13、</w:t>
            </w:r>
            <w:r>
              <w:rPr>
                <w:rFonts w:hint="eastAsia"/>
                <w:b/>
                <w:bCs/>
                <w:color w:val="auto"/>
                <w:sz w:val="21"/>
                <w:szCs w:val="21"/>
                <w:highlight w:val="none"/>
                <w:lang w:val="en-US" w:eastAsia="zh-CN"/>
              </w:rPr>
              <w:t>按辽发改价格【2023】128号文件收取建设工程交易服务费</w:t>
            </w:r>
          </w:p>
          <w:p>
            <w:pPr>
              <w:pStyle w:val="141"/>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4</w:t>
            </w:r>
            <w:r>
              <w:rPr>
                <w:rFonts w:hint="eastAsia"/>
                <w:color w:val="auto"/>
                <w:sz w:val="21"/>
                <w:szCs w:val="21"/>
                <w:highlight w:val="none"/>
              </w:rPr>
              <w:t>、投标答疑</w:t>
            </w:r>
            <w:r>
              <w:rPr>
                <w:color w:val="auto"/>
                <w:sz w:val="21"/>
                <w:szCs w:val="21"/>
                <w:highlight w:val="none"/>
              </w:rPr>
              <w:t>:</w:t>
            </w:r>
          </w:p>
          <w:p>
            <w:pPr>
              <w:pStyle w:val="141"/>
              <w:spacing w:line="360" w:lineRule="auto"/>
              <w:rPr>
                <w:rFonts w:hint="eastAsia" w:eastAsia="宋体"/>
                <w:color w:val="auto"/>
                <w:sz w:val="21"/>
                <w:szCs w:val="21"/>
                <w:highlight w:val="none"/>
                <w:lang w:val="en-US" w:eastAsia="zh-CN"/>
              </w:rPr>
            </w:pPr>
            <w:r>
              <w:rPr>
                <w:rFonts w:hint="eastAsia"/>
                <w:color w:val="auto"/>
                <w:sz w:val="21"/>
                <w:szCs w:val="21"/>
                <w:highlight w:val="none"/>
              </w:rPr>
              <w:t>提交问题时间</w:t>
            </w:r>
            <w:r>
              <w:rPr>
                <w:color w:val="auto"/>
                <w:sz w:val="21"/>
                <w:szCs w:val="21"/>
                <w:highlight w:val="none"/>
              </w:rPr>
              <w:t>:</w:t>
            </w:r>
            <w:r>
              <w:rPr>
                <w:rFonts w:ascii="Calibri" w:hAnsi="Calibri" w:eastAsia="Calibri" w:cs="Calibri"/>
                <w:color w:val="auto"/>
                <w:spacing w:val="-3"/>
                <w:highlight w:val="none"/>
              </w:rPr>
              <w:t>202</w:t>
            </w:r>
            <w:r>
              <w:rPr>
                <w:rFonts w:hint="eastAsia" w:ascii="Calibri" w:hAnsi="Calibri" w:eastAsia="宋体" w:cs="Calibri"/>
                <w:color w:val="auto"/>
                <w:spacing w:val="-3"/>
                <w:highlight w:val="none"/>
                <w:lang w:val="en-US" w:eastAsia="zh-CN"/>
              </w:rPr>
              <w:t>4</w:t>
            </w:r>
            <w:r>
              <w:rPr>
                <w:rFonts w:ascii="Calibri" w:hAnsi="Calibri" w:eastAsia="Calibri" w:cs="Calibri"/>
                <w:color w:val="auto"/>
                <w:spacing w:val="23"/>
                <w:highlight w:val="none"/>
              </w:rPr>
              <w:t xml:space="preserve"> </w:t>
            </w:r>
            <w:r>
              <w:rPr>
                <w:color w:val="auto"/>
                <w:spacing w:val="-3"/>
                <w:highlight w:val="none"/>
              </w:rPr>
              <w:t>年</w:t>
            </w:r>
            <w:r>
              <w:rPr>
                <w:rFonts w:hint="eastAsia"/>
                <w:color w:val="auto"/>
                <w:spacing w:val="-48"/>
                <w:highlight w:val="none"/>
                <w:lang w:val="en-US" w:eastAsia="zh-CN"/>
              </w:rPr>
              <w:t>/</w:t>
            </w:r>
            <w:r>
              <w:rPr>
                <w:color w:val="auto"/>
                <w:spacing w:val="-3"/>
                <w:highlight w:val="none"/>
              </w:rPr>
              <w:t>月</w:t>
            </w:r>
            <w:r>
              <w:rPr>
                <w:rFonts w:hint="eastAsia"/>
                <w:color w:val="auto"/>
                <w:spacing w:val="-35"/>
                <w:highlight w:val="none"/>
                <w:lang w:val="en-US" w:eastAsia="zh-CN"/>
              </w:rPr>
              <w:t>/</w:t>
            </w:r>
            <w:r>
              <w:rPr>
                <w:color w:val="auto"/>
                <w:spacing w:val="-3"/>
                <w:highlight w:val="none"/>
              </w:rPr>
              <w:t>日</w:t>
            </w:r>
            <w:r>
              <w:rPr>
                <w:rFonts w:hint="eastAsia"/>
                <w:color w:val="auto"/>
                <w:spacing w:val="-3"/>
                <w:highlight w:val="none"/>
                <w:lang w:eastAsia="zh-CN"/>
              </w:rPr>
              <w:t>前</w:t>
            </w:r>
          </w:p>
          <w:p>
            <w:pPr>
              <w:spacing w:line="400" w:lineRule="exact"/>
              <w:rPr>
                <w:rFonts w:hint="eastAsia" w:ascii="宋体" w:cs="宋体"/>
                <w:color w:val="auto"/>
                <w:szCs w:val="21"/>
                <w:highlight w:val="none"/>
              </w:rPr>
            </w:pPr>
            <w:r>
              <w:rPr>
                <w:rFonts w:hint="eastAsia" w:ascii="宋体" w:cs="宋体"/>
                <w:color w:val="auto"/>
                <w:szCs w:val="21"/>
                <w:highlight w:val="none"/>
              </w:rPr>
              <w:t>提交问题方式</w:t>
            </w:r>
            <w:r>
              <w:rPr>
                <w:color w:val="auto"/>
                <w:szCs w:val="21"/>
                <w:highlight w:val="none"/>
              </w:rPr>
              <w:t>:□</w:t>
            </w:r>
            <w:r>
              <w:rPr>
                <w:rFonts w:hint="eastAsia" w:ascii="宋体" w:cs="宋体"/>
                <w:color w:val="auto"/>
                <w:szCs w:val="21"/>
                <w:highlight w:val="none"/>
              </w:rPr>
              <w:t>传真；</w:t>
            </w:r>
            <w:r>
              <w:rPr>
                <w:rFonts w:ascii="Segoe UI Emoji" w:hAnsi="Segoe UI Emoji" w:cs="Segoe UI Emoji"/>
                <w:color w:val="auto"/>
                <w:szCs w:val="21"/>
                <w:highlight w:val="none"/>
              </w:rPr>
              <w:t>☑</w:t>
            </w:r>
            <w:r>
              <w:rPr>
                <w:rFonts w:hint="eastAsia" w:ascii="宋体" w:hAnsi="Segoe UI Emoji" w:cs="宋体"/>
                <w:color w:val="auto"/>
                <w:szCs w:val="21"/>
                <w:highlight w:val="none"/>
              </w:rPr>
              <w:t>书面；</w:t>
            </w:r>
            <w:r>
              <w:rPr>
                <w:rFonts w:ascii="Segoe UI Emoji" w:hAnsi="Segoe UI Emoji" w:cs="Segoe UI Emoji"/>
                <w:color w:val="auto"/>
                <w:szCs w:val="21"/>
                <w:highlight w:val="none"/>
              </w:rPr>
              <w:t>☑</w:t>
            </w:r>
            <w:r>
              <w:rPr>
                <w:rFonts w:hint="eastAsia" w:ascii="宋体" w:hAnsi="Segoe UI Emoji" w:cs="宋体"/>
                <w:color w:val="auto"/>
                <w:szCs w:val="21"/>
                <w:highlight w:val="none"/>
              </w:rPr>
              <w:t>网络；，提出问题部分要求</w:t>
            </w:r>
            <w:r>
              <w:rPr>
                <w:color w:val="auto"/>
                <w:szCs w:val="21"/>
                <w:highlight w:val="none"/>
              </w:rPr>
              <w:t>:</w:t>
            </w:r>
            <w:r>
              <w:rPr>
                <w:rFonts w:hint="eastAsia" w:ascii="宋体" w:cs="宋体"/>
                <w:color w:val="auto"/>
                <w:szCs w:val="21"/>
                <w:highlight w:val="none"/>
              </w:rPr>
              <w:t>将提出问题的书面材料加盖公章后发到代理公司邮箱</w:t>
            </w:r>
            <w:r>
              <w:rPr>
                <w:color w:val="auto"/>
                <w:szCs w:val="21"/>
                <w:highlight w:val="none"/>
              </w:rPr>
              <w:t>(lnjxyf@163.com)</w:t>
            </w:r>
            <w:r>
              <w:rPr>
                <w:rFonts w:hint="eastAsia" w:ascii="宋体" w:cs="宋体"/>
                <w:color w:val="auto"/>
                <w:szCs w:val="21"/>
                <w:highlight w:val="none"/>
              </w:rPr>
              <w:t>并电话通知招标代理公司，联系电话</w:t>
            </w:r>
            <w:r>
              <w:rPr>
                <w:color w:val="auto"/>
                <w:szCs w:val="21"/>
                <w:highlight w:val="none"/>
              </w:rPr>
              <w:t>:024-31084298</w:t>
            </w:r>
            <w:r>
              <w:rPr>
                <w:rFonts w:hint="eastAsia" w:ascii="宋体" w:cs="宋体"/>
                <w:color w:val="auto"/>
                <w:szCs w:val="21"/>
                <w:highlight w:val="none"/>
              </w:rPr>
              <w:t>，招标代理公司将在发售招标文件的同一网站发出澄清文件，请投标单位在投标全过程中及时自行关注，代理公司不做另行通知如因投标单位未及时关注澄清文件一切后果由投标人自行承担。</w:t>
            </w:r>
          </w:p>
          <w:p>
            <w:pPr>
              <w:spacing w:line="400" w:lineRule="exact"/>
              <w:rPr>
                <w:rFonts w:hint="eastAsia" w:ascii="宋体" w:hAnsi="宋体" w:cs="宋体"/>
                <w:b w:val="0"/>
                <w:bCs w:val="0"/>
                <w:color w:val="auto"/>
                <w:szCs w:val="21"/>
                <w:highlight w:val="none"/>
              </w:rPr>
            </w:pPr>
            <w:r>
              <w:rPr>
                <w:rFonts w:hint="eastAsia" w:ascii="宋体" w:cs="宋体"/>
                <w:color w:val="auto"/>
                <w:szCs w:val="21"/>
                <w:highlight w:val="none"/>
                <w:lang w:val="en-US" w:eastAsia="zh-CN"/>
              </w:rPr>
              <w:t>15、定标方式：</w:t>
            </w:r>
            <w:r>
              <w:rPr>
                <w:rFonts w:hint="eastAsia" w:ascii="宋体" w:hAnsi="宋体" w:cs="宋体"/>
                <w:b w:val="0"/>
                <w:bCs w:val="0"/>
                <w:color w:val="auto"/>
                <w:szCs w:val="21"/>
                <w:highlight w:val="none"/>
              </w:rPr>
              <w:t>本项目划分为</w:t>
            </w:r>
            <w:r>
              <w:rPr>
                <w:rFonts w:hint="eastAsia" w:ascii="宋体" w:hAnsi="宋体" w:cs="宋体"/>
                <w:b w:val="0"/>
                <w:bCs w:val="0"/>
                <w:color w:val="auto"/>
                <w:szCs w:val="21"/>
                <w:highlight w:val="none"/>
                <w:lang w:eastAsia="zh-CN"/>
              </w:rPr>
              <w:t>三</w:t>
            </w:r>
            <w:r>
              <w:rPr>
                <w:rFonts w:hint="eastAsia" w:ascii="宋体" w:hAnsi="宋体" w:cs="宋体"/>
                <w:b w:val="0"/>
                <w:bCs w:val="0"/>
                <w:color w:val="auto"/>
                <w:szCs w:val="21"/>
                <w:highlight w:val="none"/>
              </w:rPr>
              <w:t>个标段，兼投不兼中。</w:t>
            </w:r>
          </w:p>
          <w:p>
            <w:p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投标人可以同时参与大石桥市202</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年度第一批中央水库移民后期扶持资金项目</w:t>
            </w:r>
            <w:r>
              <w:rPr>
                <w:rFonts w:hint="eastAsia" w:ascii="宋体" w:hAnsi="宋体" w:cs="宋体"/>
                <w:b w:val="0"/>
                <w:bCs w:val="0"/>
                <w:color w:val="auto"/>
                <w:szCs w:val="21"/>
                <w:highlight w:val="none"/>
                <w:lang w:eastAsia="zh-CN"/>
              </w:rPr>
              <w:t>三个标段</w:t>
            </w:r>
            <w:r>
              <w:rPr>
                <w:rFonts w:hint="eastAsia" w:ascii="宋体" w:hAnsi="宋体" w:cs="宋体"/>
                <w:b w:val="0"/>
                <w:bCs w:val="0"/>
                <w:color w:val="auto"/>
                <w:szCs w:val="21"/>
                <w:highlight w:val="none"/>
              </w:rPr>
              <w:t>，但最多只能在其中一个标段中标：</w:t>
            </w:r>
          </w:p>
          <w:p>
            <w:pPr>
              <w:pStyle w:val="24"/>
              <w:spacing w:line="360" w:lineRule="auto"/>
              <w:rPr>
                <w:rFonts w:hint="eastAsia"/>
                <w:b w:val="0"/>
                <w:bCs w:val="0"/>
                <w:color w:val="auto"/>
                <w:sz w:val="21"/>
                <w:szCs w:val="21"/>
                <w:highlight w:val="none"/>
              </w:rPr>
            </w:pPr>
            <w:r>
              <w:rPr>
                <w:rFonts w:hint="eastAsia"/>
                <w:b w:val="0"/>
                <w:bCs w:val="0"/>
                <w:color w:val="auto"/>
                <w:sz w:val="21"/>
                <w:szCs w:val="21"/>
                <w:highlight w:val="none"/>
              </w:rPr>
              <w:t xml:space="preserve">    1.投标单位应递交排序优先选择表（见投标人须知前附表10.</w:t>
            </w:r>
            <w:r>
              <w:rPr>
                <w:rFonts w:hint="eastAsia"/>
                <w:b w:val="0"/>
                <w:bCs w:val="0"/>
                <w:color w:val="auto"/>
                <w:sz w:val="21"/>
                <w:szCs w:val="21"/>
                <w:highlight w:val="none"/>
                <w:lang w:val="en-US" w:eastAsia="zh-CN"/>
              </w:rPr>
              <w:t>6说明</w:t>
            </w:r>
            <w:r>
              <w:rPr>
                <w:rFonts w:hint="eastAsia"/>
                <w:b w:val="0"/>
                <w:bCs w:val="0"/>
                <w:color w:val="auto"/>
                <w:sz w:val="21"/>
                <w:szCs w:val="21"/>
                <w:highlight w:val="none"/>
              </w:rPr>
              <w:t>），此表作为投标文件的一部分装订在</w:t>
            </w:r>
            <w:r>
              <w:rPr>
                <w:rFonts w:hint="eastAsia"/>
                <w:b w:val="0"/>
                <w:bCs w:val="0"/>
                <w:color w:val="auto"/>
                <w:sz w:val="21"/>
                <w:szCs w:val="21"/>
                <w:highlight w:val="none"/>
                <w:lang w:eastAsia="zh-CN"/>
              </w:rPr>
              <w:t>一、二、三标段</w:t>
            </w:r>
            <w:r>
              <w:rPr>
                <w:rFonts w:hint="eastAsia"/>
                <w:b w:val="0"/>
                <w:bCs w:val="0"/>
                <w:color w:val="auto"/>
                <w:sz w:val="21"/>
                <w:szCs w:val="21"/>
                <w:highlight w:val="none"/>
              </w:rPr>
              <w:t>最未页，如未提供则视为默认同意按1、2</w:t>
            </w: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3</w:t>
            </w:r>
            <w:r>
              <w:rPr>
                <w:rFonts w:hint="eastAsia"/>
                <w:b w:val="0"/>
                <w:bCs w:val="0"/>
                <w:color w:val="auto"/>
                <w:sz w:val="21"/>
                <w:szCs w:val="21"/>
                <w:highlight w:val="none"/>
              </w:rPr>
              <w:t>自然顺序优先选择；</w:t>
            </w:r>
          </w:p>
          <w:p>
            <w:pPr>
              <w:spacing w:line="400" w:lineRule="exact"/>
              <w:ind w:firstLine="420" w:firstLineChars="200"/>
              <w:rPr>
                <w:rFonts w:hint="eastAsia" w:ascii="宋体" w:hAnsi="宋体" w:cs="宋体"/>
                <w:b w:val="0"/>
                <w:bCs w:val="0"/>
                <w:color w:val="auto"/>
                <w:szCs w:val="21"/>
                <w:highlight w:val="none"/>
              </w:rPr>
            </w:pPr>
            <w:r>
              <w:rPr>
                <w:rFonts w:hint="eastAsia"/>
                <w:b w:val="0"/>
                <w:bCs w:val="0"/>
                <w:color w:val="auto"/>
                <w:szCs w:val="21"/>
                <w:highlight w:val="none"/>
              </w:rPr>
              <w:t>2.评委会推选中标候选人时，若某一标段出现两个及以上单位评分相同，综合评分相等时，以投标报价低的优先；投标报价也相等的，以资质等级高的优先；资质等级相同的，以抽签方式确定优先顺序。</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评标委员会推荐不超过3名的中标候选人，并标明推荐顺序。招标人依据评标委员会推荐的中标候选人确定中标人。招标人不保证投标价最低的投标人中标，也没有义务对未中标的投标人作任何解释和说明。</w:t>
            </w:r>
          </w:p>
        </w:tc>
      </w:tr>
      <w:tr>
        <w:tblPrEx>
          <w:tblCellMar>
            <w:top w:w="0" w:type="dxa"/>
            <w:left w:w="108" w:type="dxa"/>
            <w:bottom w:w="0" w:type="dxa"/>
            <w:right w:w="108" w:type="dxa"/>
          </w:tblCellMar>
        </w:tblPrEx>
        <w:trPr>
          <w:trHeight w:val="40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eastAsia="宋体"/>
                <w:color w:val="auto"/>
                <w:szCs w:val="21"/>
                <w:highlight w:val="none"/>
                <w:lang w:val="en-US" w:eastAsia="zh-CN"/>
              </w:rPr>
            </w:pPr>
            <w:r>
              <w:rPr>
                <w:rFonts w:hint="eastAsia"/>
                <w:color w:val="auto"/>
                <w:szCs w:val="21"/>
                <w:highlight w:val="none"/>
                <w:lang w:val="en-US" w:eastAsia="zh-CN"/>
              </w:rPr>
              <w:t>10.6</w:t>
            </w:r>
          </w:p>
        </w:tc>
        <w:tc>
          <w:tcPr>
            <w:tcW w:w="138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宋体"/>
                <w:color w:val="auto"/>
                <w:szCs w:val="21"/>
                <w:highlight w:val="none"/>
                <w:lang w:eastAsia="zh-CN"/>
              </w:rPr>
            </w:pPr>
            <w:r>
              <w:rPr>
                <w:rFonts w:hint="eastAsia"/>
                <w:color w:val="auto"/>
                <w:szCs w:val="21"/>
                <w:highlight w:val="none"/>
                <w:lang w:eastAsia="zh-CN"/>
              </w:rPr>
              <w:t>说明</w:t>
            </w:r>
          </w:p>
        </w:tc>
        <w:tc>
          <w:tcPr>
            <w:tcW w:w="32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一、工程量清单中标注（暂定价）项，按固定金额报价，如没有按工程量清单中要求，不按（暂定价）报价的投标人，按废标处理。</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本项目划分为</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个标段，</w:t>
            </w: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一、二</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标段</w:t>
            </w:r>
            <w:r>
              <w:rPr>
                <w:rFonts w:hint="eastAsia" w:ascii="宋体" w:hAnsi="宋体" w:eastAsia="宋体" w:cs="宋体"/>
                <w:color w:val="auto"/>
                <w:szCs w:val="21"/>
                <w:highlight w:val="none"/>
              </w:rPr>
              <w:t>兼投不兼中。投标人可以同时参与</w:t>
            </w:r>
            <w:r>
              <w:rPr>
                <w:rFonts w:hint="eastAsia" w:ascii="宋体" w:hAnsi="宋体" w:eastAsia="宋体" w:cs="宋体"/>
                <w:color w:val="auto"/>
                <w:szCs w:val="21"/>
                <w:highlight w:val="none"/>
                <w:lang w:eastAsia="zh-CN"/>
              </w:rPr>
              <w:t>第一、二</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lang w:eastAsia="zh-CN"/>
              </w:rPr>
              <w:t>标段</w:t>
            </w:r>
            <w:r>
              <w:rPr>
                <w:rFonts w:hint="eastAsia" w:ascii="宋体" w:hAnsi="宋体" w:eastAsia="宋体" w:cs="宋体"/>
                <w:color w:val="auto"/>
                <w:szCs w:val="21"/>
                <w:highlight w:val="none"/>
              </w:rPr>
              <w:t>，但最多只能在其中一个标段中标：</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1.投标单位应递交排序优先选择表，此表作为投标文件的一部分装订在</w:t>
            </w:r>
            <w:r>
              <w:rPr>
                <w:rFonts w:hint="eastAsia" w:ascii="宋体" w:hAnsi="宋体" w:eastAsia="宋体" w:cs="宋体"/>
                <w:color w:val="auto"/>
                <w:szCs w:val="21"/>
                <w:highlight w:val="none"/>
                <w:lang w:eastAsia="zh-CN"/>
              </w:rPr>
              <w:t>一、二</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标段最未页，如未提供则视为默认同意按1、2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自然顺序优先选择；</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2.评委会推选中标候选人时，若某一标段出现两个及以上单位评分相同，综合评分相等时，以投标报价低的优先；投标报价也相等的，以资质等级高的优先；资质等级相同的，以抽签方式确定优先顺序。</w:t>
            </w:r>
          </w:p>
          <w:p>
            <w:pPr>
              <w:spacing w:line="360" w:lineRule="auto"/>
              <w:rPr>
                <w:rFonts w:hint="eastAsia" w:ascii="宋体" w:hAnsi="宋体" w:cs="宋体"/>
                <w:b/>
                <w:bCs/>
                <w:color w:val="auto"/>
                <w:highlight w:val="yellow"/>
                <w:lang w:val="en-US" w:eastAsia="zh-CN"/>
              </w:rPr>
            </w:pPr>
          </w:p>
          <w:p>
            <w:pPr>
              <w:spacing w:line="360" w:lineRule="auto"/>
              <w:jc w:val="center"/>
              <w:rPr>
                <w:rFonts w:hint="eastAsia"/>
                <w:color w:val="auto"/>
                <w:sz w:val="21"/>
                <w:szCs w:val="21"/>
              </w:rPr>
            </w:pPr>
            <w:r>
              <w:rPr>
                <w:rFonts w:hint="eastAsia"/>
                <w:color w:val="auto"/>
                <w:sz w:val="21"/>
                <w:szCs w:val="21"/>
              </w:rPr>
              <w:t>投标排序优先选择表</w:t>
            </w:r>
          </w:p>
          <w:p>
            <w:pPr>
              <w:pStyle w:val="24"/>
              <w:ind w:firstLine="360"/>
              <w:rPr>
                <w:rFonts w:hint="eastAsia"/>
                <w:color w:val="auto"/>
                <w:sz w:val="21"/>
                <w:szCs w:val="21"/>
              </w:rPr>
            </w:pPr>
          </w:p>
          <w:p>
            <w:pPr>
              <w:pStyle w:val="24"/>
              <w:ind w:firstLine="360"/>
              <w:rPr>
                <w:rFonts w:hint="eastAsia"/>
                <w:color w:val="auto"/>
                <w:sz w:val="21"/>
                <w:szCs w:val="21"/>
              </w:rPr>
            </w:pPr>
            <w:r>
              <w:rPr>
                <w:rFonts w:hint="eastAsia"/>
                <w:color w:val="auto"/>
                <w:sz w:val="21"/>
                <w:szCs w:val="21"/>
              </w:rPr>
              <w:t>项目名称：                    招标编号：</w:t>
            </w:r>
          </w:p>
          <w:tbl>
            <w:tblPr>
              <w:tblStyle w:val="36"/>
              <w:tblW w:w="8236" w:type="dxa"/>
              <w:tblInd w:w="94" w:type="dxa"/>
              <w:tblLayout w:type="fixed"/>
              <w:tblCellMar>
                <w:top w:w="0" w:type="dxa"/>
                <w:left w:w="108" w:type="dxa"/>
                <w:bottom w:w="0" w:type="dxa"/>
                <w:right w:w="108" w:type="dxa"/>
              </w:tblCellMar>
            </w:tblPr>
            <w:tblGrid>
              <w:gridCol w:w="1347"/>
              <w:gridCol w:w="2227"/>
              <w:gridCol w:w="1274"/>
            </w:tblGrid>
            <w:tr>
              <w:tblPrEx>
                <w:tblCellMar>
                  <w:top w:w="0" w:type="dxa"/>
                  <w:left w:w="108" w:type="dxa"/>
                  <w:bottom w:w="0" w:type="dxa"/>
                  <w:right w:w="108" w:type="dxa"/>
                </w:tblCellMar>
              </w:tblPrEx>
              <w:trPr>
                <w:trHeight w:val="510" w:hRule="atLeast"/>
              </w:trPr>
              <w:tc>
                <w:tcPr>
                  <w:tcW w:w="22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优选顺序</w:t>
                  </w:r>
                </w:p>
              </w:tc>
              <w:tc>
                <w:tcPr>
                  <w:tcW w:w="3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所选标段</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10" w:hRule="atLeast"/>
              </w:trPr>
              <w:tc>
                <w:tcPr>
                  <w:tcW w:w="2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8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2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2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3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p>
              </w:tc>
            </w:tr>
          </w:tbl>
          <w:p>
            <w:pPr>
              <w:spacing w:line="400" w:lineRule="exact"/>
              <w:rPr>
                <w:rFonts w:hint="eastAsia" w:ascii="宋体" w:hAnsi="宋体" w:cs="宋体"/>
                <w:color w:val="auto"/>
                <w:szCs w:val="21"/>
              </w:rPr>
            </w:pPr>
          </w:p>
        </w:tc>
      </w:tr>
    </w:tbl>
    <w:p>
      <w:pPr>
        <w:rPr>
          <w:color w:val="000080"/>
          <w:sz w:val="20"/>
          <w:highlight w:val="none"/>
        </w:rPr>
      </w:pPr>
      <w:bookmarkStart w:id="62" w:name="EB4509dc647f90438c837f73a2e11ef87e"/>
      <w:bookmarkEnd w:id="62"/>
      <w:bookmarkStart w:id="63" w:name="EB86d52242f34040919b7f222c4d7fcbc7"/>
      <w:bookmarkEnd w:id="63"/>
    </w:p>
    <w:p>
      <w:pPr>
        <w:rPr>
          <w:highlight w:val="none"/>
        </w:rPr>
      </w:pPr>
      <w:bookmarkStart w:id="64" w:name="EB2566576610744c23a8eb95fe9b14c987"/>
      <w:bookmarkEnd w:id="64"/>
      <w:bookmarkStart w:id="65" w:name="EBa876ab55d84a4703a6df27f4011940c9"/>
      <w:bookmarkEnd w:id="65"/>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spacing w:line="400" w:lineRule="exact"/>
        <w:rPr>
          <w:color w:val="000000"/>
          <w:sz w:val="27"/>
          <w:szCs w:val="27"/>
          <w:highlight w:val="none"/>
        </w:rPr>
      </w:pPr>
      <w:bookmarkStart w:id="66" w:name="_Toc256000005"/>
      <w:bookmarkStart w:id="67" w:name="_Toc49869967"/>
      <w:r>
        <w:rPr>
          <w:rFonts w:hint="eastAsia"/>
          <w:color w:val="000000"/>
          <w:sz w:val="27"/>
          <w:szCs w:val="27"/>
          <w:highlight w:val="none"/>
        </w:rPr>
        <w:t>1. 总则</w:t>
      </w:r>
      <w:bookmarkEnd w:id="66"/>
      <w:bookmarkEnd w:id="67"/>
    </w:p>
    <w:p>
      <w:pPr>
        <w:spacing w:line="400" w:lineRule="exact"/>
        <w:ind w:firstLine="420" w:firstLineChars="200"/>
        <w:rPr>
          <w:color w:val="000000"/>
          <w:highlight w:val="none"/>
        </w:rPr>
      </w:pPr>
      <w:r>
        <w:rPr>
          <w:rFonts w:hint="eastAsia"/>
          <w:color w:val="000000"/>
          <w:highlight w:val="none"/>
        </w:rPr>
        <w:t>根据《中华人民共和国招标投标法》等有关法律、法规和规章的规定，本招标项目已具备招标条件，现对本标段施工进行招标。</w:t>
      </w:r>
    </w:p>
    <w:p>
      <w:pPr>
        <w:spacing w:line="400" w:lineRule="exact"/>
        <w:ind w:firstLine="420" w:firstLineChars="200"/>
        <w:rPr>
          <w:color w:val="000000"/>
          <w:highlight w:val="none"/>
        </w:rPr>
      </w:pPr>
      <w:r>
        <w:rPr>
          <w:rFonts w:hint="eastAsia"/>
          <w:color w:val="000000"/>
          <w:highlight w:val="none"/>
        </w:rPr>
        <w:t>1.1.2 本招标项目招标人：见投标人须知前附表。</w:t>
      </w:r>
    </w:p>
    <w:p>
      <w:pPr>
        <w:spacing w:line="400" w:lineRule="exact"/>
        <w:ind w:firstLine="420" w:firstLineChars="200"/>
        <w:rPr>
          <w:color w:val="000000"/>
          <w:highlight w:val="none"/>
        </w:rPr>
      </w:pPr>
      <w:r>
        <w:rPr>
          <w:rFonts w:hint="eastAsia"/>
          <w:color w:val="000000"/>
          <w:highlight w:val="none"/>
        </w:rPr>
        <w:t>1.1.3 本标段招标代理机构：见投标人须知前附表。</w:t>
      </w:r>
    </w:p>
    <w:p>
      <w:pPr>
        <w:spacing w:line="400" w:lineRule="exact"/>
        <w:ind w:firstLine="420" w:firstLineChars="200"/>
        <w:rPr>
          <w:color w:val="000000"/>
          <w:highlight w:val="none"/>
        </w:rPr>
      </w:pPr>
      <w:r>
        <w:rPr>
          <w:rFonts w:hint="eastAsia"/>
          <w:color w:val="000000"/>
          <w:highlight w:val="none"/>
        </w:rPr>
        <w:t>1.1.4 本招标项目名称：见投标人须知前附表。</w:t>
      </w:r>
    </w:p>
    <w:p>
      <w:pPr>
        <w:spacing w:line="400" w:lineRule="exact"/>
        <w:ind w:firstLine="420" w:firstLineChars="200"/>
        <w:rPr>
          <w:color w:val="000000"/>
          <w:highlight w:val="none"/>
        </w:rPr>
      </w:pPr>
      <w:r>
        <w:rPr>
          <w:rFonts w:hint="eastAsia"/>
          <w:color w:val="000000"/>
          <w:highlight w:val="none"/>
        </w:rPr>
        <w:t>1.1.5 本标段建设地点：见投标人须知前附表。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1.1项目概况</w:t>
      </w:r>
    </w:p>
    <w:p>
      <w:pPr>
        <w:spacing w:line="400" w:lineRule="exact"/>
        <w:ind w:firstLine="420" w:firstLineChars="200"/>
        <w:rPr>
          <w:color w:val="000000"/>
          <w:szCs w:val="21"/>
          <w:highlight w:val="none"/>
        </w:rPr>
      </w:pPr>
      <w:r>
        <w:rPr>
          <w:rFonts w:hint="eastAsia"/>
          <w:color w:val="000000"/>
          <w:szCs w:val="21"/>
          <w:highlight w:val="none"/>
        </w:rPr>
        <w:t>1.1.6 本招标项目现场管理机构：见投标人须知前附表。</w:t>
      </w:r>
    </w:p>
    <w:p>
      <w:pPr>
        <w:spacing w:line="400" w:lineRule="exact"/>
        <w:ind w:firstLine="420" w:firstLineChars="200"/>
        <w:rPr>
          <w:color w:val="000000"/>
          <w:szCs w:val="21"/>
          <w:highlight w:val="none"/>
        </w:rPr>
      </w:pPr>
      <w:r>
        <w:rPr>
          <w:rFonts w:hint="eastAsia"/>
          <w:color w:val="000000"/>
          <w:szCs w:val="21"/>
          <w:highlight w:val="none"/>
        </w:rPr>
        <w:t>1.1.7 本招标项目设计人：见投标人须知前附表。</w:t>
      </w:r>
    </w:p>
    <w:p>
      <w:pPr>
        <w:spacing w:line="400" w:lineRule="exact"/>
        <w:ind w:firstLine="420" w:firstLineChars="200"/>
        <w:rPr>
          <w:color w:val="000000"/>
          <w:szCs w:val="21"/>
          <w:highlight w:val="none"/>
        </w:rPr>
      </w:pPr>
      <w:r>
        <w:rPr>
          <w:rFonts w:hint="eastAsia"/>
          <w:color w:val="000000"/>
          <w:szCs w:val="21"/>
          <w:highlight w:val="none"/>
        </w:rPr>
        <w:t>1.1.8 本招标项目监理人：见投标人须知前附表。</w:t>
      </w:r>
    </w:p>
    <w:p>
      <w:pPr>
        <w:spacing w:line="400" w:lineRule="exact"/>
        <w:ind w:firstLine="420" w:firstLineChars="200"/>
        <w:rPr>
          <w:color w:val="000000"/>
          <w:szCs w:val="21"/>
          <w:highlight w:val="none"/>
        </w:rPr>
      </w:pPr>
      <w:r>
        <w:rPr>
          <w:rFonts w:hint="eastAsia"/>
          <w:color w:val="000000"/>
          <w:szCs w:val="21"/>
          <w:highlight w:val="none"/>
        </w:rPr>
        <w:t>1.1.9 本招标项目代建机构：见投标人须知前附表。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1.9踏勘现场</w:t>
      </w:r>
    </w:p>
    <w:p>
      <w:pPr>
        <w:spacing w:line="400" w:lineRule="exact"/>
        <w:ind w:left="105" w:leftChars="50" w:firstLine="315" w:firstLineChars="150"/>
        <w:rPr>
          <w:rFonts w:ascii="宋体" w:hAnsi="宋体"/>
          <w:color w:val="000000"/>
          <w:szCs w:val="21"/>
          <w:highlight w:val="none"/>
        </w:rPr>
      </w:pPr>
      <w:r>
        <w:rPr>
          <w:rFonts w:hint="eastAsia" w:ascii="宋体" w:hAnsi="宋体"/>
          <w:color w:val="000000"/>
          <w:szCs w:val="21"/>
          <w:highlight w:val="none"/>
        </w:rPr>
        <w:t xml:space="preserve">1.9.1 投标人须知前附表规定组织踏勘现场的，招标人按照招标公告（或投标邀请书）规定的时间和地点组织踏勘现场。 </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1.10投标预备会</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1.10.1投标人须知前附表规定召开投标预备会的，招标人按照招标公告（或投标邀请书）规定的时间和地点召开投标预备会。</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1.10.2在投标预备会召开前，投标人应以书面形式（包括信函、电报、传真等可以有形地表现所载内容的形式，下同）将需要招标人澄清的问题送达招标人。</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1.10.3在投标人须知前附表规定的投标截止时间15天前，招标人将对投标人所提问题的澄清，以书面形式通知所有购买招标文件的投标人。该澄清通知为招标文件的组成部分。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1.10投标预备会</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招标人不组织投标预备会，对于投标人在阅读招标文件和现场踏勘中提出的疑问，招标人将以招标文件澄清或修改的形式予以答复。</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1.11分包</w:t>
      </w:r>
    </w:p>
    <w:p>
      <w:pPr>
        <w:spacing w:line="400" w:lineRule="exact"/>
        <w:ind w:firstLine="525" w:firstLineChars="250"/>
        <w:rPr>
          <w:color w:val="000000"/>
          <w:szCs w:val="21"/>
          <w:highlight w:val="none"/>
        </w:rPr>
      </w:pPr>
      <w:r>
        <w:rPr>
          <w:rFonts w:hint="eastAsia"/>
          <w:color w:val="000000"/>
          <w:szCs w:val="21"/>
          <w:highlight w:val="none"/>
        </w:rPr>
        <w:t>投标人须知前附表规定允许分包的，</w:t>
      </w:r>
      <w:r>
        <w:rPr>
          <w:rFonts w:hint="eastAsia"/>
          <w:vanish/>
          <w:color w:val="000000"/>
          <w:szCs w:val="21"/>
          <w:highlight w:val="none"/>
        </w:rPr>
        <w:t xml:space="preserve">招要11 </w:t>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pgNum/>
      </w:r>
      <w:r>
        <w:rPr>
          <w:rFonts w:hint="eastAsia"/>
          <w:vanish/>
          <w:color w:val="000000"/>
          <w:szCs w:val="21"/>
          <w:highlight w:val="none"/>
        </w:rPr>
        <w:t xml:space="preserve">1.111.11投标人投标人 </w:t>
      </w:r>
      <w:r>
        <w:rPr>
          <w:rFonts w:hint="eastAsia"/>
          <w:color w:val="000000"/>
          <w:szCs w:val="21"/>
          <w:highlight w:val="none"/>
        </w:rPr>
        <w:t>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的能力。投标人应在投标文件中提供分包协议、分包人的资质证书及营业执照副本复印件、人员和设备资料表、分包的工程项目和工程量。</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1.11分包</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本工程不允许分包。</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1.12偏离</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投标文件不允许偏离招标文件的实质性要求和条件。投标文件偏离招标文件的非实质性要求和条件的，其处理方式见投标人须知前附表。</w:t>
      </w:r>
    </w:p>
    <w:p>
      <w:pPr>
        <w:rPr>
          <w:highlight w:val="none"/>
        </w:rPr>
      </w:pPr>
      <w:bookmarkStart w:id="68" w:name="EBdcc86de9cfcd465c9a59472d5af3386a"/>
      <w:bookmarkEnd w:id="68"/>
      <w:bookmarkStart w:id="69" w:name="EBd45900aeeef74b8faaf0d315ed21f29e"/>
      <w:bookmarkEnd w:id="69"/>
      <w:bookmarkStart w:id="70" w:name="EBf1fa8e40e21f416a9f63e2ebd40a9a75"/>
      <w:bookmarkEnd w:id="70"/>
    </w:p>
    <w:p>
      <w:pPr>
        <w:pStyle w:val="3"/>
        <w:spacing w:line="400" w:lineRule="exact"/>
        <w:rPr>
          <w:color w:val="000000"/>
          <w:sz w:val="27"/>
          <w:szCs w:val="27"/>
          <w:highlight w:val="none"/>
        </w:rPr>
      </w:pPr>
      <w:bookmarkStart w:id="71" w:name="_Toc49869968"/>
      <w:bookmarkStart w:id="72" w:name="_Toc256000006"/>
      <w:r>
        <w:rPr>
          <w:rFonts w:hint="eastAsia"/>
          <w:color w:val="000000"/>
          <w:sz w:val="27"/>
          <w:szCs w:val="27"/>
          <w:highlight w:val="none"/>
        </w:rPr>
        <w:t>2. 招标文件</w:t>
      </w:r>
      <w:bookmarkEnd w:id="71"/>
      <w:bookmarkEnd w:id="72"/>
    </w:p>
    <w:p>
      <w:pPr>
        <w:spacing w:line="400" w:lineRule="exact"/>
        <w:rPr>
          <w:color w:val="000000"/>
          <w:highlight w:val="none"/>
        </w:rPr>
      </w:pPr>
      <w:r>
        <w:rPr>
          <w:rFonts w:hint="eastAsia"/>
          <w:color w:val="000000"/>
          <w:highlight w:val="none"/>
        </w:rPr>
        <w:t>本招标文件包括：</w:t>
      </w:r>
    </w:p>
    <w:p>
      <w:pPr>
        <w:spacing w:line="400" w:lineRule="exact"/>
        <w:ind w:firstLine="359" w:firstLineChars="171"/>
        <w:rPr>
          <w:color w:val="000000"/>
          <w:highlight w:val="none"/>
        </w:rPr>
      </w:pPr>
      <w:r>
        <w:rPr>
          <w:rFonts w:hint="eastAsia"/>
          <w:color w:val="000000"/>
          <w:highlight w:val="none"/>
        </w:rPr>
        <w:t>（1）招标公告（或投标邀请书）；</w:t>
      </w:r>
    </w:p>
    <w:p>
      <w:pPr>
        <w:spacing w:line="400" w:lineRule="exact"/>
        <w:ind w:firstLine="359" w:firstLineChars="171"/>
        <w:rPr>
          <w:color w:val="000000"/>
          <w:highlight w:val="none"/>
        </w:rPr>
      </w:pPr>
      <w:r>
        <w:rPr>
          <w:rFonts w:hint="eastAsia"/>
          <w:color w:val="000000"/>
          <w:highlight w:val="none"/>
        </w:rPr>
        <w:t>（2）投标人须知；</w:t>
      </w:r>
    </w:p>
    <w:p>
      <w:pPr>
        <w:spacing w:line="400" w:lineRule="exact"/>
        <w:ind w:firstLine="359" w:firstLineChars="171"/>
        <w:rPr>
          <w:color w:val="000000"/>
          <w:highlight w:val="none"/>
        </w:rPr>
      </w:pPr>
      <w:r>
        <w:rPr>
          <w:rFonts w:hint="eastAsia"/>
          <w:color w:val="000000"/>
          <w:highlight w:val="none"/>
        </w:rPr>
        <w:t>（3）评标办法；</w:t>
      </w:r>
    </w:p>
    <w:p>
      <w:pPr>
        <w:spacing w:line="400" w:lineRule="exact"/>
        <w:ind w:firstLine="359" w:firstLineChars="171"/>
        <w:rPr>
          <w:color w:val="000000"/>
          <w:highlight w:val="none"/>
        </w:rPr>
      </w:pPr>
      <w:r>
        <w:rPr>
          <w:rFonts w:hint="eastAsia"/>
          <w:color w:val="000000"/>
          <w:highlight w:val="none"/>
        </w:rPr>
        <w:t>（4）合同条款及格式；</w:t>
      </w:r>
    </w:p>
    <w:p>
      <w:pPr>
        <w:spacing w:line="400" w:lineRule="exact"/>
        <w:ind w:firstLine="359" w:firstLineChars="171"/>
        <w:rPr>
          <w:color w:val="000000"/>
          <w:highlight w:val="none"/>
        </w:rPr>
      </w:pPr>
      <w:r>
        <w:rPr>
          <w:rFonts w:hint="eastAsia"/>
          <w:color w:val="000000"/>
          <w:highlight w:val="none"/>
        </w:rPr>
        <w:t xml:space="preserve">（5）工程量清单； </w:t>
      </w:r>
    </w:p>
    <w:p>
      <w:pPr>
        <w:spacing w:line="400" w:lineRule="exact"/>
        <w:ind w:firstLine="359" w:firstLineChars="171"/>
        <w:rPr>
          <w:color w:val="000000"/>
          <w:highlight w:val="none"/>
        </w:rPr>
      </w:pPr>
      <w:r>
        <w:rPr>
          <w:rFonts w:hint="eastAsia"/>
          <w:color w:val="000000"/>
          <w:highlight w:val="none"/>
        </w:rPr>
        <w:t xml:space="preserve">（6）图纸； </w:t>
      </w:r>
    </w:p>
    <w:p>
      <w:pPr>
        <w:spacing w:line="400" w:lineRule="exact"/>
        <w:ind w:firstLine="359" w:firstLineChars="171"/>
        <w:rPr>
          <w:color w:val="000000"/>
          <w:highlight w:val="none"/>
        </w:rPr>
      </w:pPr>
      <w:r>
        <w:rPr>
          <w:rFonts w:hint="eastAsia"/>
          <w:color w:val="000000"/>
          <w:highlight w:val="none"/>
        </w:rPr>
        <w:t xml:space="preserve">（7）技术标准和要求； </w:t>
      </w:r>
    </w:p>
    <w:p>
      <w:pPr>
        <w:spacing w:line="400" w:lineRule="exact"/>
        <w:ind w:firstLine="359" w:firstLineChars="171"/>
        <w:rPr>
          <w:color w:val="000000"/>
          <w:highlight w:val="none"/>
        </w:rPr>
      </w:pPr>
      <w:r>
        <w:rPr>
          <w:rFonts w:hint="eastAsia"/>
          <w:color w:val="000000"/>
          <w:highlight w:val="none"/>
        </w:rPr>
        <w:t>（8）投标文件格式；</w:t>
      </w:r>
    </w:p>
    <w:p>
      <w:pPr>
        <w:spacing w:line="400" w:lineRule="exact"/>
        <w:ind w:firstLine="359" w:firstLineChars="171"/>
        <w:rPr>
          <w:color w:val="000000"/>
          <w:highlight w:val="none"/>
        </w:rPr>
      </w:pPr>
      <w:r>
        <w:rPr>
          <w:rFonts w:hint="eastAsia"/>
          <w:color w:val="000000"/>
          <w:highlight w:val="none"/>
        </w:rPr>
        <w:t>（9）投标人须知前附表规定的其他材料。</w:t>
      </w:r>
    </w:p>
    <w:p>
      <w:pPr>
        <w:spacing w:line="400" w:lineRule="exact"/>
        <w:ind w:firstLine="420" w:firstLineChars="200"/>
        <w:rPr>
          <w:color w:val="000000"/>
          <w:highlight w:val="none"/>
        </w:rPr>
      </w:pPr>
      <w:r>
        <w:rPr>
          <w:rFonts w:hint="eastAsia"/>
          <w:color w:val="000000"/>
          <w:highlight w:val="none"/>
        </w:rPr>
        <w:t>根据本章第1.10款、第2.2款和第2.3款对招标文件所作的澄清、修改，构成招标文件的组成部分。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2.2招标文件的澄清</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2.2.1 投标人应仔细阅读和检查招标文件的全部内容。如发现缺页或附件不全，应及时向招标人提出，以便补齐。如有疑问，应在投标截止时间17天前以书面形式提出澄清申请，要求招标人对招标文件予以澄清。</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2.2.2 招标文件的澄清将在投标截止时间15天前，以书面形式通知所有购买招标文件的投标人，但不指明澄清问题的来源。如果澄清通知发出的时间距投标截止时间不足15天，投标截止时间应相应延长。</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2.2.3 投标人在收到澄清通知后，应在1天内以书面形式告知招标人，确认已收到澄清通知。</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2.3招标文件的修改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2.3.2投标人收到修改通知后，应在1天内以书面形式告知招标人，确认已收到该修改通知。</w:t>
      </w:r>
    </w:p>
    <w:p>
      <w:pPr>
        <w:rPr>
          <w:highlight w:val="none"/>
        </w:rPr>
      </w:pPr>
      <w:bookmarkStart w:id="73" w:name="EB926102dbd1544a3ca0e818dcca5b6200"/>
      <w:bookmarkEnd w:id="73"/>
      <w:bookmarkStart w:id="74" w:name="EBe26dc70283ae4dc582965f9f59067d57"/>
      <w:bookmarkEnd w:id="74"/>
      <w:bookmarkStart w:id="75" w:name="EB24bd1d623a0c43609a26cccfe8b47c72"/>
      <w:bookmarkEnd w:id="75"/>
    </w:p>
    <w:p>
      <w:pPr>
        <w:pStyle w:val="3"/>
        <w:spacing w:line="400" w:lineRule="exact"/>
        <w:rPr>
          <w:color w:val="000000"/>
          <w:sz w:val="27"/>
          <w:szCs w:val="27"/>
          <w:highlight w:val="none"/>
        </w:rPr>
      </w:pPr>
      <w:bookmarkStart w:id="76" w:name="_Toc256000007"/>
      <w:bookmarkStart w:id="77" w:name="_Toc49869969"/>
      <w:r>
        <w:rPr>
          <w:rFonts w:hint="eastAsia"/>
          <w:color w:val="000000"/>
          <w:sz w:val="27"/>
          <w:szCs w:val="27"/>
          <w:highlight w:val="none"/>
        </w:rPr>
        <w:t>3. 投标文件</w:t>
      </w:r>
      <w:bookmarkEnd w:id="76"/>
      <w:bookmarkEnd w:id="77"/>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3.1.投标文件的组成</w:t>
      </w:r>
    </w:p>
    <w:p>
      <w:pPr>
        <w:spacing w:line="400" w:lineRule="exact"/>
        <w:rPr>
          <w:color w:val="000000"/>
          <w:highlight w:val="none"/>
        </w:rPr>
      </w:pPr>
      <w:r>
        <w:rPr>
          <w:rFonts w:hint="eastAsia"/>
          <w:color w:val="000000"/>
          <w:highlight w:val="none"/>
        </w:rPr>
        <w:t>　　3.1.1投标文件应包括下列内容：</w:t>
      </w:r>
    </w:p>
    <w:p>
      <w:pPr>
        <w:spacing w:line="400" w:lineRule="exact"/>
        <w:ind w:firstLine="359" w:firstLineChars="171"/>
        <w:rPr>
          <w:color w:val="000000"/>
          <w:highlight w:val="none"/>
        </w:rPr>
      </w:pPr>
      <w:r>
        <w:rPr>
          <w:rFonts w:hint="eastAsia"/>
          <w:color w:val="000000"/>
          <w:highlight w:val="none"/>
        </w:rPr>
        <w:t>（1）投标函及投标函附录；</w:t>
      </w:r>
    </w:p>
    <w:p>
      <w:pPr>
        <w:spacing w:line="400" w:lineRule="exact"/>
        <w:ind w:firstLine="359" w:firstLineChars="171"/>
        <w:rPr>
          <w:color w:val="000000"/>
          <w:highlight w:val="none"/>
        </w:rPr>
      </w:pPr>
      <w:r>
        <w:rPr>
          <w:rFonts w:hint="eastAsia"/>
          <w:color w:val="000000"/>
          <w:highlight w:val="none"/>
        </w:rPr>
        <w:t>（2）法定代表人身份证明或附有法定代表人身份证明的授权委托书；</w:t>
      </w:r>
    </w:p>
    <w:p>
      <w:pPr>
        <w:spacing w:line="400" w:lineRule="exact"/>
        <w:ind w:firstLine="359" w:firstLineChars="171"/>
        <w:rPr>
          <w:color w:val="000000"/>
          <w:highlight w:val="none"/>
        </w:rPr>
      </w:pPr>
      <w:r>
        <w:rPr>
          <w:rFonts w:hint="eastAsia"/>
          <w:color w:val="000000"/>
          <w:highlight w:val="none"/>
        </w:rPr>
        <w:t>（3）联合体协议书；</w:t>
      </w:r>
    </w:p>
    <w:p>
      <w:pPr>
        <w:spacing w:line="400" w:lineRule="exact"/>
        <w:ind w:firstLine="359" w:firstLineChars="171"/>
        <w:rPr>
          <w:color w:val="000000"/>
          <w:highlight w:val="none"/>
        </w:rPr>
      </w:pPr>
      <w:r>
        <w:rPr>
          <w:rFonts w:hint="eastAsia"/>
          <w:color w:val="000000"/>
          <w:highlight w:val="none"/>
        </w:rPr>
        <w:t>（4）投标保证金；</w:t>
      </w:r>
    </w:p>
    <w:p>
      <w:pPr>
        <w:spacing w:line="400" w:lineRule="exact"/>
        <w:ind w:firstLine="359" w:firstLineChars="171"/>
        <w:rPr>
          <w:color w:val="000000"/>
          <w:highlight w:val="none"/>
        </w:rPr>
      </w:pPr>
      <w:r>
        <w:rPr>
          <w:rFonts w:hint="eastAsia"/>
          <w:color w:val="000000"/>
          <w:highlight w:val="none"/>
        </w:rPr>
        <w:t>（5）已标价工程量清单；</w:t>
      </w:r>
    </w:p>
    <w:p>
      <w:pPr>
        <w:spacing w:line="400" w:lineRule="exact"/>
        <w:ind w:firstLine="359" w:firstLineChars="171"/>
        <w:rPr>
          <w:color w:val="000000"/>
          <w:highlight w:val="none"/>
        </w:rPr>
      </w:pPr>
      <w:r>
        <w:rPr>
          <w:rFonts w:hint="eastAsia"/>
          <w:color w:val="000000"/>
          <w:highlight w:val="none"/>
        </w:rPr>
        <w:t xml:space="preserve">（6）施工组织设计； </w:t>
      </w:r>
    </w:p>
    <w:p>
      <w:pPr>
        <w:spacing w:line="400" w:lineRule="exact"/>
        <w:ind w:firstLine="359" w:firstLineChars="171"/>
        <w:rPr>
          <w:color w:val="000000"/>
          <w:highlight w:val="none"/>
        </w:rPr>
      </w:pPr>
      <w:r>
        <w:rPr>
          <w:rFonts w:hint="eastAsia"/>
          <w:color w:val="000000"/>
          <w:highlight w:val="none"/>
        </w:rPr>
        <w:t>（7）项目管理机构；</w:t>
      </w:r>
    </w:p>
    <w:p>
      <w:pPr>
        <w:pBdr>
          <w:top w:val="none" w:color="auto" w:sz="0" w:space="0"/>
          <w:left w:val="none" w:color="auto" w:sz="0" w:space="0"/>
          <w:bottom w:val="none" w:color="auto" w:sz="0" w:space="0"/>
          <w:right w:val="none" w:color="auto" w:sz="0" w:space="0"/>
          <w:between w:val="none" w:color="auto" w:sz="0" w:space="0"/>
        </w:pBdr>
        <w:spacing w:line="400" w:lineRule="exact"/>
        <w:ind w:firstLine="359" w:firstLineChars="171"/>
        <w:rPr>
          <w:color w:val="000000"/>
          <w:highlight w:val="none"/>
        </w:rPr>
      </w:pPr>
      <w:r>
        <w:rPr>
          <w:rFonts w:hint="eastAsia"/>
          <w:color w:val="000000"/>
          <w:highlight w:val="none"/>
        </w:rPr>
        <w:t>（8）拟分包项目情况表；</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359" w:firstLineChars="171"/>
        <w:rPr>
          <w:color w:val="000000"/>
          <w:highlight w:val="none"/>
        </w:rPr>
      </w:pPr>
      <w:r>
        <w:rPr>
          <w:rFonts w:hint="eastAsia"/>
          <w:color w:val="000000"/>
          <w:highlight w:val="none"/>
        </w:rPr>
        <w:t>（9）资格审查资料；</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359" w:firstLineChars="171"/>
        <w:rPr>
          <w:color w:val="000000"/>
          <w:highlight w:val="none"/>
        </w:rPr>
      </w:pPr>
      <w:r>
        <w:rPr>
          <w:rFonts w:hint="eastAsia"/>
          <w:color w:val="000000"/>
          <w:highlight w:val="none"/>
        </w:rPr>
        <w:t>（10）投标人须知前附表规定的其他材料。</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359" w:firstLineChars="171"/>
        <w:rPr>
          <w:color w:val="000000"/>
          <w:highlight w:val="none"/>
        </w:rPr>
      </w:pPr>
      <w:r>
        <w:rPr>
          <w:rFonts w:hint="eastAsia"/>
          <w:color w:val="000000"/>
          <w:highlight w:val="none"/>
        </w:rPr>
        <w:t xml:space="preserve">3.1.2 投标人须知前附表规定不接受联合体投标的，或投标人没有组成联合体的，投标文件不包括本章第3.1.1（3）目所指的联合体协议书。 </w:t>
      </w:r>
    </w:p>
    <w:p>
      <w:pPr>
        <w:pBdr>
          <w:top w:val="none" w:color="auto" w:sz="0" w:space="0"/>
          <w:left w:val="none" w:color="auto" w:sz="0" w:space="0"/>
          <w:bottom w:val="none" w:color="auto" w:sz="0" w:space="0"/>
          <w:right w:val="none" w:color="auto" w:sz="0" w:space="0"/>
          <w:between w:val="none" w:color="auto" w:sz="0" w:space="0"/>
        </w:pBdr>
        <w:shd w:val="clear"/>
        <w:spacing w:line="400" w:lineRule="exact"/>
        <w:rPr>
          <w:rFonts w:ascii="宋体" w:hAnsi="宋体"/>
          <w:b/>
          <w:color w:val="000000"/>
          <w:sz w:val="23"/>
          <w:szCs w:val="23"/>
          <w:highlight w:val="none"/>
        </w:rPr>
      </w:pPr>
      <w:r>
        <w:rPr>
          <w:rFonts w:hint="eastAsia" w:ascii="宋体" w:hAnsi="宋体"/>
          <w:b/>
          <w:color w:val="000000"/>
          <w:sz w:val="23"/>
          <w:szCs w:val="23"/>
          <w:highlight w:val="none"/>
        </w:rPr>
        <w:t>3.2 投标报价</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420" w:firstLineChars="200"/>
        <w:rPr>
          <w:color w:val="000000"/>
          <w:highlight w:val="none"/>
        </w:rPr>
      </w:pPr>
      <w:r>
        <w:rPr>
          <w:rFonts w:hint="eastAsia"/>
          <w:color w:val="000000"/>
          <w:highlight w:val="none"/>
        </w:rPr>
        <w:t>3.2.1 投标人应按第五章“工程量清单”的要求填写相应表格。</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420" w:firstLineChars="200"/>
        <w:rPr>
          <w:color w:val="000000"/>
          <w:highlight w:val="none"/>
        </w:rPr>
      </w:pPr>
      <w:r>
        <w:rPr>
          <w:rFonts w:hint="eastAsia"/>
          <w:color w:val="000000"/>
          <w:highlight w:val="none"/>
        </w:rPr>
        <w:t>3.2.2 投标人在投标截止时间前修改投标函中的投标总报价，应同时修改第五章“工程量清单”中的相应报价。此修改须符合本章第4.3款的有关要求。　　</w:t>
      </w:r>
    </w:p>
    <w:p>
      <w:pPr>
        <w:pBdr>
          <w:top w:val="none" w:color="auto" w:sz="0" w:space="0"/>
          <w:left w:val="none" w:color="auto" w:sz="0" w:space="0"/>
          <w:bottom w:val="none" w:color="auto" w:sz="0" w:space="0"/>
          <w:right w:val="none" w:color="auto" w:sz="0" w:space="0"/>
          <w:between w:val="none" w:color="auto" w:sz="0" w:space="0"/>
        </w:pBdr>
        <w:shd w:val="clear"/>
        <w:spacing w:line="400" w:lineRule="exact"/>
        <w:rPr>
          <w:rFonts w:ascii="宋体" w:hAnsi="宋体"/>
          <w:b/>
          <w:color w:val="000000"/>
          <w:sz w:val="23"/>
          <w:szCs w:val="23"/>
          <w:highlight w:val="none"/>
        </w:rPr>
      </w:pPr>
      <w:r>
        <w:rPr>
          <w:rFonts w:hint="eastAsia" w:ascii="宋体" w:hAnsi="宋体"/>
          <w:b/>
          <w:color w:val="000000"/>
          <w:sz w:val="23"/>
          <w:szCs w:val="23"/>
          <w:highlight w:val="none"/>
        </w:rPr>
        <w:t>3.3 投标有效期</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420" w:firstLineChars="200"/>
        <w:rPr>
          <w:color w:val="000000"/>
          <w:highlight w:val="none"/>
        </w:rPr>
      </w:pPr>
      <w:r>
        <w:rPr>
          <w:rFonts w:hint="eastAsia"/>
          <w:color w:val="000000"/>
          <w:highlight w:val="none"/>
        </w:rPr>
        <w:t>3.3.1 在投标人须知前附表规定的投标有效期内，投标人不得要求撤销或修改其投标文件。</w:t>
      </w:r>
    </w:p>
    <w:p>
      <w:pPr>
        <w:pBdr>
          <w:top w:val="none" w:color="auto" w:sz="0" w:space="0"/>
          <w:left w:val="none" w:color="auto" w:sz="0" w:space="0"/>
          <w:bottom w:val="none" w:color="auto" w:sz="0" w:space="0"/>
          <w:right w:val="none" w:color="auto" w:sz="0" w:space="0"/>
          <w:between w:val="none" w:color="auto" w:sz="0" w:space="0"/>
        </w:pBdr>
        <w:shd w:val="clear"/>
        <w:spacing w:line="400" w:lineRule="exact"/>
        <w:ind w:firstLine="420" w:firstLineChars="200"/>
        <w:rPr>
          <w:color w:val="000000"/>
          <w:highlight w:val="none"/>
        </w:rPr>
      </w:pPr>
      <w:r>
        <w:rPr>
          <w:rFonts w:hint="eastAsia"/>
          <w:color w:val="000000"/>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Bdr>
          <w:top w:val="none" w:color="auto" w:sz="0" w:space="0"/>
          <w:left w:val="none" w:color="auto" w:sz="0" w:space="0"/>
          <w:bottom w:val="none" w:color="auto" w:sz="0" w:space="0"/>
          <w:right w:val="none" w:color="auto" w:sz="0" w:space="0"/>
          <w:between w:val="none" w:color="auto" w:sz="0" w:space="0"/>
        </w:pBdr>
        <w:spacing w:line="400" w:lineRule="exact"/>
        <w:rPr>
          <w:rFonts w:ascii="宋体" w:hAnsi="宋体"/>
          <w:b/>
          <w:color w:val="000000"/>
          <w:sz w:val="23"/>
          <w:szCs w:val="23"/>
          <w:highlight w:val="none"/>
        </w:rPr>
      </w:pPr>
      <w:r>
        <w:rPr>
          <w:rFonts w:hint="eastAsia" w:ascii="宋体" w:hAnsi="宋体"/>
          <w:b/>
          <w:color w:val="000000"/>
          <w:sz w:val="23"/>
          <w:szCs w:val="23"/>
          <w:highlight w:val="none"/>
        </w:rPr>
        <w:t>3.4 投标保证金</w:t>
      </w:r>
    </w:p>
    <w:p>
      <w:pPr>
        <w:pBdr>
          <w:top w:val="none" w:color="auto" w:sz="0" w:space="0"/>
          <w:left w:val="none" w:color="auto" w:sz="0" w:space="0"/>
          <w:bottom w:val="none" w:color="auto" w:sz="0" w:space="0"/>
          <w:right w:val="none" w:color="auto" w:sz="0" w:space="0"/>
          <w:between w:val="none" w:color="auto" w:sz="0" w:space="0"/>
        </w:pBdr>
        <w:spacing w:line="400" w:lineRule="exact"/>
        <w:ind w:firstLine="420" w:firstLineChars="200"/>
        <w:rPr>
          <w:color w:val="000000"/>
          <w:highlight w:val="none"/>
        </w:rPr>
      </w:pPr>
      <w:r>
        <w:rPr>
          <w:rFonts w:hint="eastAsia"/>
          <w:color w:val="000000"/>
          <w:highlight w:val="none"/>
        </w:rPr>
        <w:t>3.4.1 投标人在递交投标文件的同时，应按投标人须知前附表规定的金额、担保形</w:t>
      </w:r>
      <w:r>
        <w:rPr>
          <w:rFonts w:hint="eastAsia"/>
          <w:color w:val="000000"/>
          <w:highlight w:val="white"/>
        </w:rPr>
        <w:t>式和</w:t>
      </w:r>
      <w:r>
        <w:rPr>
          <w:rFonts w:hint="eastAsia"/>
          <w:color w:val="000000"/>
          <w:highlight w:val="none"/>
        </w:rPr>
        <w:t>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rPr>
          <w:color w:val="000000"/>
          <w:highlight w:val="none"/>
        </w:rPr>
      </w:pPr>
      <w:r>
        <w:rPr>
          <w:rFonts w:hint="eastAsia"/>
          <w:color w:val="000000"/>
          <w:highlight w:val="none"/>
        </w:rPr>
        <w:t>3.4.2 投标人不按本章第3.4.1项要求提交投标保证金的，其投标文件作废标处理。</w:t>
      </w:r>
    </w:p>
    <w:p>
      <w:pPr>
        <w:spacing w:line="400" w:lineRule="exact"/>
        <w:ind w:firstLine="420" w:firstLineChars="200"/>
        <w:rPr>
          <w:color w:val="000000"/>
          <w:highlight w:val="none"/>
        </w:rPr>
      </w:pPr>
      <w:r>
        <w:rPr>
          <w:rFonts w:hint="eastAsia"/>
          <w:color w:val="000000"/>
          <w:highlight w:val="none"/>
        </w:rPr>
        <w:t>3.4.3 招标人与中标人签订合同后5个工作日内，向未中标的投标人和中标人退还投标保证金。</w:t>
      </w:r>
    </w:p>
    <w:p>
      <w:pPr>
        <w:spacing w:line="400" w:lineRule="exact"/>
        <w:ind w:firstLine="420" w:firstLineChars="200"/>
        <w:rPr>
          <w:color w:val="000000"/>
          <w:highlight w:val="none"/>
        </w:rPr>
      </w:pPr>
      <w:r>
        <w:rPr>
          <w:rFonts w:hint="eastAsia"/>
          <w:color w:val="000000"/>
          <w:highlight w:val="none"/>
        </w:rPr>
        <w:t xml:space="preserve">3.4.4 有下列情形之一的，投标保证金将不予退还： </w:t>
      </w:r>
    </w:p>
    <w:p>
      <w:pPr>
        <w:spacing w:line="400" w:lineRule="exact"/>
        <w:ind w:firstLine="718" w:firstLineChars="342"/>
        <w:rPr>
          <w:color w:val="000000"/>
          <w:highlight w:val="none"/>
        </w:rPr>
      </w:pPr>
      <w:r>
        <w:rPr>
          <w:rFonts w:hint="eastAsia"/>
          <w:color w:val="000000"/>
          <w:highlight w:val="none"/>
        </w:rPr>
        <w:t>（1）投标人在规定的投标有效期内撤销或修改其投标文件；</w:t>
      </w:r>
    </w:p>
    <w:p>
      <w:pPr>
        <w:spacing w:line="400" w:lineRule="exact"/>
        <w:ind w:firstLine="718" w:firstLineChars="342"/>
        <w:rPr>
          <w:color w:val="000000"/>
          <w:highlight w:val="none"/>
        </w:rPr>
      </w:pPr>
      <w:r>
        <w:rPr>
          <w:rFonts w:hint="eastAsia"/>
          <w:color w:val="000000"/>
          <w:highlight w:val="none"/>
        </w:rPr>
        <w:t>（2）中标人在收到中标通知书后，无正当理由拒签合同协议书或未按招标文件规定提交履约担保。</w:t>
      </w:r>
    </w:p>
    <w:p>
      <w:pPr>
        <w:spacing w:line="400" w:lineRule="exact"/>
        <w:ind w:firstLine="420" w:firstLineChars="200"/>
        <w:rPr>
          <w:rFonts w:ascii="宋体" w:hAnsi="宋体"/>
          <w:color w:val="000000"/>
          <w:szCs w:val="21"/>
          <w:highlight w:val="none"/>
        </w:rPr>
      </w:pP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3.5资格审查资料（适用于已进行资格预审）</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投标人在编制投标文件时，如果投标人在资质条件、组织机构、财务能力、信誉等资格条件与资格预审时提交的资格预审申请文件相比发生变化的，应按新情况更新或补充其在申请资格预审申请文件中提供的资料，以证实其各项资格条件仍能继续满足资格预审文件的要求，具备承担本标段施工的资质条件、能力和信誉。</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3.5 资格审查资料（适用于未进行资格预审）</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3.5.1“近3年财务状况”应附流动资金来源证明及经会计师事务所或审计机构审计的财务会计报表，包括资产负债表、现金流量表、利润表和财务情况说明书的复印件。</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3.5.2“近5年完成的类似项目情况表”应附中标通知书、合同协议书以及合同工程完工证书（工程竣工证书副本）的复印件。每张表格只填写一个项目，并标明序号。。</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3.5.3“近3年发生的诉讼及仲裁情况表”应说明相关情况，并附法院或仲裁机构作出的判断、裁决等有关法律文书复印件。</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3.6备选投标方案</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投标人可以递交备选投标方案，只有中标人所递交的备选投标方案方可予以考虑。评标委员会认为中标人递交的备选投标方案优于其按照招标文件要求编制的投标方案时，招标人可以接受该备选投标方案。</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3.7投标文件的编制</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3.7.3投标文件应采用不褪色的材料书写或打印。投标文件正本除封面、封底、目录、分隔页外，其他每一页必须加盖投标人单位公章，并由投标人的法定代表人或其委托代理人签字。已标价的工程量清单还应加盖注册水利工程造价师执业印章，投标文件应尽量避免涂改、行间插字或删除。如果出现上述情况，修改之处应加盖投标人单位公章或由投标人的法定代表人或其委托代理人签字确认。</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3.7.4投标文件正本1份，副本4份。正本和副本的封面上应清楚地标记“正本”或“副本”的字样。当副本和正本不一致时，以正本为准。 </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3.7.5投标文件的正本与副本应采用A4纸（图表页可例外），分别装订成册，编制目录和页码，并不得采用活页装订。</w:t>
      </w:r>
    </w:p>
    <w:p>
      <w:pPr>
        <w:rPr>
          <w:highlight w:val="none"/>
        </w:rPr>
      </w:pPr>
      <w:bookmarkStart w:id="78" w:name="EBbd52b4f55f0445a3a19acb7d37260732"/>
      <w:bookmarkEnd w:id="78"/>
      <w:bookmarkStart w:id="79" w:name="EB070386af3dad47c6a26b44e683975dba"/>
      <w:bookmarkEnd w:id="79"/>
      <w:bookmarkStart w:id="80" w:name="EB37fa3946cc344242a78b4e4729c53f42"/>
      <w:bookmarkEnd w:id="80"/>
    </w:p>
    <w:p>
      <w:pPr>
        <w:pStyle w:val="3"/>
        <w:spacing w:line="400" w:lineRule="exact"/>
        <w:rPr>
          <w:color w:val="000000"/>
          <w:sz w:val="27"/>
          <w:szCs w:val="27"/>
          <w:highlight w:val="none"/>
        </w:rPr>
      </w:pPr>
      <w:bookmarkStart w:id="81" w:name="_Toc256000008"/>
      <w:bookmarkStart w:id="82" w:name="_Toc49869970"/>
      <w:r>
        <w:rPr>
          <w:rFonts w:hint="eastAsia"/>
          <w:color w:val="000000"/>
          <w:sz w:val="27"/>
          <w:szCs w:val="27"/>
          <w:highlight w:val="none"/>
        </w:rPr>
        <w:t>4. 投标</w:t>
      </w:r>
      <w:bookmarkEnd w:id="81"/>
      <w:bookmarkEnd w:id="82"/>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4.1投标文件的密封和标识</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4.1.1投标文件的正本与副本应分开包装，加贴封条，并在封套的封口处加盖投标人单位章。</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4.1.2投标文件的封套上除应清楚标记“正本”或“副本”字样外，封套还应写明以下内容：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（1）所投标段名称和合同编号；</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（2）招标人的名称和通讯地址；</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（3）投标人的名称和通讯地址，并加盖单位公章。（投标人以联合体形式时，须注明联合体名称，联合体牵头人的名称、地址，加盖联合体牵头人单位公章）</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（4）“在投标截止时间之前不得拆封”的声明。</w:t>
      </w:r>
    </w:p>
    <w:p>
      <w:pPr>
        <w:spacing w:line="400" w:lineRule="exact"/>
        <w:ind w:firstLine="420" w:firstLineChars="200"/>
        <w:rPr>
          <w:color w:val="000000"/>
          <w:highlight w:val="none"/>
        </w:rPr>
      </w:pPr>
      <w:r>
        <w:rPr>
          <w:rFonts w:hint="eastAsia" w:ascii="宋体" w:hAnsi="宋体"/>
          <w:color w:val="000000"/>
          <w:szCs w:val="21"/>
          <w:highlight w:val="none"/>
        </w:rPr>
        <w:t>4.1.3</w:t>
      </w:r>
      <w:r>
        <w:rPr>
          <w:rFonts w:hint="eastAsia"/>
          <w:color w:val="000000"/>
          <w:highlight w:val="none"/>
        </w:rPr>
        <w:t xml:space="preserve"> 未按本章第4.1.1项或第4.1.2项要求密封和加写标记的投标文件，招标人不予受理。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4.2投标文件的递交</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4.2.1 投标人应在本章第2.2.2项规定的投标截止时间前递交投标文件。</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4.2.2 投标人递交投标文件的地点：见投标人须知前附表。</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4.2.3 除投标人须知前附表另有规定外，投标人所递交的投标文件不予退还。</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4.2.4 招标人收到投标文件后，向投标人出具签收凭证。</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4.2.5 逾期送达的或者未送达指定地点的投标文件，招标人不予受理。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4.3 投标文件的修改与撤回</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4.3.1 在本章第2.2.2项规定的投标截止时间前，投标人可以修改或撤回已递交的投标文件，但应以书面形式通知招标人。</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4.3.2 投标人修改或撤回已递交投标文件的书面通知应按照本章第3.7.3项的要求签字或盖章。招标人收到书面通知后，向投标人出具签收凭证。</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4.3.3 修改的内容为投标文件的组成部分。修改的投标文件应按照本章第3条、第4条规定进行编制、密封、标记和递交，并标明“修改”字样。</w:t>
      </w:r>
    </w:p>
    <w:p>
      <w:pPr>
        <w:pStyle w:val="3"/>
        <w:spacing w:line="400" w:lineRule="exact"/>
        <w:rPr>
          <w:color w:val="000000"/>
          <w:sz w:val="27"/>
          <w:szCs w:val="27"/>
          <w:highlight w:val="none"/>
        </w:rPr>
      </w:pPr>
      <w:bookmarkStart w:id="83" w:name="_Toc256000009"/>
      <w:bookmarkStart w:id="84" w:name="_Toc49869971"/>
      <w:r>
        <w:rPr>
          <w:rFonts w:hint="eastAsia"/>
          <w:color w:val="000000"/>
          <w:sz w:val="27"/>
          <w:szCs w:val="27"/>
          <w:highlight w:val="none"/>
        </w:rPr>
        <w:t>5. 开标</w:t>
      </w:r>
      <w:bookmarkEnd w:id="83"/>
      <w:bookmarkEnd w:id="84"/>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5.1开标时间和地点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投标人在本章第1.10.3款规定的投标截止时间（开标时间）和投标人须知前附表规定的地点公开开标，并邀请所有投标人的法定代表人或其委托代理人准时参加。投标人的法定代表人或其委托代理人未参加开标会的，招标人可将其投标文件按无效标处理。</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5.2开标程序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主持人按下列程序进行开标：</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（1）宣布开标纪律；</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（2）公布在投标截止时间前递交投标文件的投标人名称，并确认投标人法定代表人或其委托代理人是否在场；</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（3）宣布主持人、开标人、唱标人、记录人、监标人等有关人员姓名；</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（4）除投标人须知前附表另有约定外，由投标人推荐的代表检查投标文件的密封情况；</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（5）宣布投标文件开启顺序：按递交投标文件的先后顺序的逆序；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（6）设有标底的，公布标底；</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（7）按照宣布的开标顺序当众开标，公布投标人名称、标段名称、投标保证金的递交情况、投标报价、质量目标、工期及其它招标文件规定开标时公布的内容，并进行文字记录；</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（8）主持人、开标人、唱标人、记录人、监标人、投标人的法定代表人或其委托代理人等有关人员在开标记录上签字确认；</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（9）开标结束。</w:t>
      </w:r>
    </w:p>
    <w:p>
      <w:pPr>
        <w:pStyle w:val="3"/>
        <w:spacing w:line="400" w:lineRule="exact"/>
        <w:rPr>
          <w:color w:val="000000"/>
          <w:sz w:val="27"/>
          <w:szCs w:val="27"/>
          <w:highlight w:val="none"/>
        </w:rPr>
      </w:pPr>
      <w:bookmarkStart w:id="85" w:name="_Toc49869972"/>
      <w:bookmarkStart w:id="86" w:name="_Toc256000010"/>
      <w:r>
        <w:rPr>
          <w:rFonts w:hint="eastAsia"/>
          <w:color w:val="000000"/>
          <w:sz w:val="27"/>
          <w:szCs w:val="27"/>
          <w:highlight w:val="none"/>
        </w:rPr>
        <w:t>6. 评标</w:t>
      </w:r>
      <w:bookmarkEnd w:id="85"/>
      <w:bookmarkEnd w:id="86"/>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6.1 评标委员会</w:t>
      </w:r>
    </w:p>
    <w:p>
      <w:pPr>
        <w:spacing w:line="400" w:lineRule="exact"/>
        <w:ind w:firstLine="420" w:firstLineChars="200"/>
        <w:rPr>
          <w:color w:val="000000"/>
          <w:highlight w:val="none"/>
        </w:rPr>
      </w:pPr>
      <w:r>
        <w:rPr>
          <w:rFonts w:hint="eastAsia"/>
          <w:color w:val="000000"/>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color w:val="000000"/>
          <w:highlight w:val="none"/>
        </w:rPr>
      </w:pPr>
      <w:r>
        <w:rPr>
          <w:rFonts w:hint="eastAsia"/>
          <w:color w:val="000000"/>
          <w:highlight w:val="none"/>
        </w:rPr>
        <w:t>6.1.2 评标委员会成员有下列情形之一的，应当回避：</w:t>
      </w:r>
    </w:p>
    <w:p>
      <w:pPr>
        <w:spacing w:line="400" w:lineRule="exact"/>
        <w:ind w:firstLine="718" w:firstLineChars="342"/>
        <w:rPr>
          <w:color w:val="000000"/>
          <w:highlight w:val="none"/>
        </w:rPr>
      </w:pPr>
      <w:r>
        <w:rPr>
          <w:rFonts w:hint="eastAsia"/>
          <w:color w:val="000000"/>
          <w:highlight w:val="none"/>
        </w:rPr>
        <w:t>（1）招标人或投标人的主要负责人的近亲属；</w:t>
      </w:r>
    </w:p>
    <w:p>
      <w:pPr>
        <w:spacing w:line="400" w:lineRule="exact"/>
        <w:ind w:firstLine="718" w:firstLineChars="342"/>
        <w:rPr>
          <w:color w:val="000000"/>
          <w:highlight w:val="none"/>
        </w:rPr>
      </w:pPr>
      <w:r>
        <w:rPr>
          <w:rFonts w:hint="eastAsia"/>
          <w:color w:val="000000"/>
          <w:highlight w:val="none"/>
        </w:rPr>
        <w:t>（2）项目主管部门或者行政监督部门的人员；</w:t>
      </w:r>
    </w:p>
    <w:p>
      <w:pPr>
        <w:spacing w:line="400" w:lineRule="exact"/>
        <w:ind w:firstLine="718" w:firstLineChars="342"/>
        <w:rPr>
          <w:color w:val="000000"/>
          <w:highlight w:val="none"/>
        </w:rPr>
      </w:pPr>
      <w:r>
        <w:rPr>
          <w:rFonts w:hint="eastAsia"/>
          <w:color w:val="000000"/>
          <w:highlight w:val="none"/>
        </w:rPr>
        <w:t>（3）与投标人有经济利益关系，可能影响对投标公正评审的；</w:t>
      </w:r>
    </w:p>
    <w:p>
      <w:pPr>
        <w:spacing w:line="400" w:lineRule="exact"/>
        <w:ind w:firstLine="718" w:firstLineChars="342"/>
        <w:rPr>
          <w:color w:val="000000"/>
          <w:highlight w:val="none"/>
        </w:rPr>
      </w:pPr>
      <w:r>
        <w:rPr>
          <w:rFonts w:hint="eastAsia"/>
          <w:color w:val="000000"/>
          <w:highlight w:val="none"/>
        </w:rPr>
        <w:t>（4）曾因在招标、评标以及其他与招标投标有关活动中从事违法行为而受过行政处罚或刑事处罚的。</w:t>
      </w:r>
    </w:p>
    <w:p>
      <w:pPr>
        <w:spacing w:line="400" w:lineRule="exact"/>
        <w:rPr>
          <w:rFonts w:eastAsia="黑体" w:cs="宋体"/>
          <w:color w:val="000000"/>
          <w:sz w:val="24"/>
          <w:szCs w:val="20"/>
          <w:highlight w:val="none"/>
        </w:rPr>
      </w:pPr>
      <w:r>
        <w:rPr>
          <w:rFonts w:hint="eastAsia" w:ascii="宋体" w:hAnsi="宋体"/>
          <w:b/>
          <w:color w:val="000000"/>
          <w:sz w:val="23"/>
          <w:szCs w:val="23"/>
          <w:highlight w:val="none"/>
        </w:rPr>
        <w:t>6.2 评标原则</w:t>
      </w:r>
      <w:r>
        <w:rPr>
          <w:rFonts w:eastAsia="黑体" w:cs="宋体"/>
          <w:color w:val="000000"/>
          <w:sz w:val="24"/>
          <w:szCs w:val="20"/>
          <w:highlight w:val="none"/>
        </w:rPr>
        <w:tab/>
      </w:r>
    </w:p>
    <w:p>
      <w:pPr>
        <w:spacing w:line="400" w:lineRule="exact"/>
        <w:ind w:firstLine="420" w:firstLineChars="200"/>
        <w:rPr>
          <w:color w:val="000000"/>
          <w:highlight w:val="none"/>
        </w:rPr>
      </w:pPr>
      <w:r>
        <w:rPr>
          <w:rFonts w:hint="eastAsia"/>
          <w:color w:val="000000"/>
          <w:highlight w:val="none"/>
        </w:rPr>
        <w:t>评标活动遵循公平、公正、科学和择优的原则。</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6.3 评标</w:t>
      </w:r>
    </w:p>
    <w:p>
      <w:pPr>
        <w:spacing w:line="400" w:lineRule="exact"/>
        <w:ind w:firstLine="420" w:firstLineChars="200"/>
        <w:rPr>
          <w:color w:val="000000"/>
          <w:highlight w:val="none"/>
        </w:rPr>
      </w:pPr>
      <w:r>
        <w:rPr>
          <w:rFonts w:hint="eastAsia"/>
          <w:color w:val="000000"/>
          <w:highlight w:val="none"/>
        </w:rPr>
        <w:t>评标委员会按照第三章“评标办法”规定的方法、评审因素、标准和程序对投标文件进行评审。第三章“评标办法”没有规定的方法、评审因素和标准，不作为评标依据。</w:t>
      </w:r>
    </w:p>
    <w:p>
      <w:pPr>
        <w:rPr>
          <w:highlight w:val="none"/>
        </w:rPr>
      </w:pPr>
      <w:bookmarkStart w:id="87" w:name="EB235ffab3ae6e450dbbb4cb9b8d40365e"/>
      <w:bookmarkEnd w:id="87"/>
      <w:bookmarkStart w:id="88" w:name="EBf3f57808d74446d8814b91158cc1a078"/>
      <w:bookmarkEnd w:id="88"/>
      <w:bookmarkStart w:id="89" w:name="EB20c135173e0a4e79a5c3424320b49d32"/>
      <w:bookmarkEnd w:id="89"/>
    </w:p>
    <w:p>
      <w:pPr>
        <w:pStyle w:val="3"/>
        <w:spacing w:line="400" w:lineRule="exact"/>
        <w:rPr>
          <w:color w:val="000000"/>
          <w:sz w:val="27"/>
          <w:szCs w:val="27"/>
          <w:highlight w:val="none"/>
        </w:rPr>
      </w:pPr>
      <w:bookmarkStart w:id="90" w:name="_Toc256000011"/>
      <w:bookmarkStart w:id="91" w:name="_Toc49869973"/>
      <w:r>
        <w:rPr>
          <w:rFonts w:hint="eastAsia"/>
          <w:color w:val="000000"/>
          <w:sz w:val="27"/>
          <w:szCs w:val="27"/>
          <w:highlight w:val="none"/>
        </w:rPr>
        <w:t>7. 合同授予</w:t>
      </w:r>
      <w:bookmarkEnd w:id="90"/>
      <w:bookmarkEnd w:id="91"/>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7.1定标方式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评标委员会推荐3名中标候选人,并标明排列顺序。招标人依据评标委员会推荐的中标候选人确定中标人。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7.2 中标通知</w:t>
      </w:r>
    </w:p>
    <w:p>
      <w:pPr>
        <w:spacing w:line="400" w:lineRule="exact"/>
        <w:ind w:firstLine="420" w:firstLineChars="200"/>
        <w:rPr>
          <w:color w:val="000000"/>
          <w:highlight w:val="none"/>
        </w:rPr>
      </w:pPr>
      <w:r>
        <w:rPr>
          <w:rFonts w:hint="eastAsia"/>
          <w:color w:val="000000"/>
          <w:highlight w:val="none"/>
        </w:rPr>
        <w:t>在本章第3.3款规定的投标有效期内，招标人以书面形式向中标人发出中标通知书，同时将中标结果通知未中标的投标人。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7.3 履约担保</w:t>
      </w:r>
    </w:p>
    <w:p>
      <w:pPr>
        <w:spacing w:line="400" w:lineRule="exact"/>
        <w:ind w:firstLine="420" w:firstLineChars="200"/>
        <w:rPr>
          <w:color w:val="000000"/>
          <w:highlight w:val="none"/>
        </w:rPr>
      </w:pPr>
      <w:r>
        <w:rPr>
          <w:rFonts w:hint="eastAsia"/>
          <w:color w:val="000000"/>
          <w:highlight w:val="none"/>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rPr>
          <w:color w:val="000000"/>
          <w:highlight w:val="none"/>
        </w:rPr>
      </w:pPr>
      <w:r>
        <w:rPr>
          <w:rFonts w:hint="eastAsia"/>
          <w:color w:val="000000"/>
          <w:highlight w:val="none"/>
        </w:rPr>
        <w:t>7.3.2 中标人不能按本章第7.3.1项要求提交履约担保的，视为放弃中标，其投标保证金不予退还，给招标人造成的损失超过投标保证金数额的，中标人还应当对超过部分予以赔偿。</w:t>
      </w:r>
    </w:p>
    <w:p>
      <w:pPr>
        <w:spacing w:line="400" w:lineRule="exact"/>
        <w:rPr>
          <w:rFonts w:ascii="宋体" w:hAnsi="宋体"/>
          <w:color w:val="000000"/>
          <w:szCs w:val="21"/>
          <w:highlight w:val="none"/>
        </w:rPr>
      </w:pP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7.4签订合同</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 xml:space="preserve">7.4.2 发出中标通知书后，招标人无正当理由拒签合同的，招标人向中标人退还投标保证金，并按投标保证金双倍的金额赔偿投标人损失。 </w:t>
      </w:r>
    </w:p>
    <w:p>
      <w:pPr>
        <w:rPr>
          <w:color w:val="000080"/>
          <w:sz w:val="20"/>
          <w:highlight w:val="none"/>
        </w:rPr>
      </w:pPr>
      <w:bookmarkStart w:id="92" w:name="EB61608d79d00244a38716ac1fcb0b5dc5"/>
      <w:bookmarkEnd w:id="92"/>
      <w:bookmarkStart w:id="93" w:name="EBeddac0cefa83434f84e442cc333d8bf0"/>
      <w:bookmarkEnd w:id="93"/>
      <w:bookmarkStart w:id="94" w:name="EBf5e503ee239a4d8890779214d4e2b2f3"/>
      <w:bookmarkEnd w:id="94"/>
    </w:p>
    <w:p>
      <w:pPr>
        <w:pStyle w:val="3"/>
        <w:spacing w:line="400" w:lineRule="exact"/>
        <w:rPr>
          <w:color w:val="000000"/>
          <w:sz w:val="27"/>
          <w:szCs w:val="27"/>
          <w:highlight w:val="none"/>
        </w:rPr>
      </w:pPr>
      <w:bookmarkStart w:id="95" w:name="_Toc256000012"/>
      <w:bookmarkStart w:id="96" w:name="_Toc49869974"/>
      <w:r>
        <w:rPr>
          <w:rFonts w:hint="eastAsia"/>
          <w:color w:val="000000"/>
          <w:sz w:val="27"/>
          <w:szCs w:val="27"/>
          <w:highlight w:val="none"/>
        </w:rPr>
        <w:t>8. 重新招标或经批准不招标</w:t>
      </w:r>
      <w:bookmarkEnd w:id="95"/>
      <w:bookmarkEnd w:id="96"/>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8.1重新招标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有下列情形之一的，招标人将重新招标；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（1）投标截止时间止，投标人少于3个的；</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（2）经评标委员会评审后否决所有投标的；</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（3）评标委员会否决不合格投标或者界定为废标后因有效投标不足3个使得投标明显缺乏竞争，评标委员会决定否决全部投标的；</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（4）同意延长投标有效期的投标人少于3个的；</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（5）中标候选人均未与招标人签订合同的。</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8.2不再招标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重新招标后，仍出现本章第8.1条规定情形之一的，属于必须审批的水利工程建设项目，经行政监督部门批准后不再进行招标。</w:t>
      </w:r>
    </w:p>
    <w:p>
      <w:pPr>
        <w:rPr>
          <w:highlight w:val="none"/>
        </w:rPr>
      </w:pPr>
      <w:bookmarkStart w:id="97" w:name="EB6cf15e3a9a084847b11a0467d3b1b1eb"/>
      <w:bookmarkEnd w:id="97"/>
      <w:bookmarkStart w:id="98" w:name="EB97457f9117f245c4baf1a975cab67d98"/>
      <w:bookmarkEnd w:id="98"/>
      <w:bookmarkStart w:id="99" w:name="EBccbe84e21742461ea6faa5dc5a61b346"/>
      <w:bookmarkEnd w:id="99"/>
    </w:p>
    <w:p>
      <w:pPr>
        <w:pStyle w:val="3"/>
        <w:spacing w:line="400" w:lineRule="exact"/>
        <w:rPr>
          <w:color w:val="000000"/>
          <w:sz w:val="27"/>
          <w:szCs w:val="27"/>
          <w:highlight w:val="none"/>
        </w:rPr>
      </w:pPr>
      <w:bookmarkStart w:id="100" w:name="_Toc256000013"/>
      <w:bookmarkStart w:id="101" w:name="_Toc49869975"/>
      <w:r>
        <w:rPr>
          <w:rFonts w:hint="eastAsia"/>
          <w:color w:val="000000"/>
          <w:sz w:val="27"/>
          <w:szCs w:val="27"/>
          <w:highlight w:val="none"/>
        </w:rPr>
        <w:t>9. 纪律和监督</w:t>
      </w:r>
      <w:bookmarkEnd w:id="100"/>
      <w:bookmarkEnd w:id="101"/>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9.1对招标人的纪律要求</w:t>
      </w:r>
    </w:p>
    <w:p>
      <w:pPr>
        <w:spacing w:line="400" w:lineRule="exact"/>
        <w:ind w:right="248" w:firstLine="462" w:firstLineChars="200"/>
        <w:rPr>
          <w:rFonts w:ascii="宋体" w:hAnsi="宋体"/>
          <w:color w:val="000000"/>
          <w:szCs w:val="21"/>
          <w:highlight w:val="none"/>
        </w:rPr>
      </w:pPr>
      <w:r>
        <w:rPr>
          <w:rFonts w:hint="eastAsia" w:ascii="宋体" w:hAnsi="宋体"/>
          <w:b/>
          <w:color w:val="000000"/>
          <w:sz w:val="23"/>
          <w:szCs w:val="23"/>
          <w:highlight w:val="none"/>
        </w:rPr>
        <w:t xml:space="preserve"> </w:t>
      </w:r>
      <w:r>
        <w:rPr>
          <w:rFonts w:hint="eastAsia" w:ascii="宋体" w:hAnsi="宋体"/>
          <w:color w:val="000000"/>
          <w:szCs w:val="21"/>
          <w:highlight w:val="none"/>
        </w:rPr>
        <w:t>招标人不得泄露招标投标活动中应当保密的情况和资料，不得与投标人串通损害国家利益、社会公共利益或者他人合法利益。</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下列行为均属招标人与投标串通投标：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（1）招标人在开标前开启投标文件，并将投标情况告知其他投标人，或者协助投标人撤换投标文件，更改报价；</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（2）招标人向投标人泄露标底；</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（3）招标人与投标人商定，投标时压低或抬高标价，中标后再给投标人或招标人额外补偿；</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（4）招标人预先内定中标人；</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（5）其他串通投标行为。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9.2对投标人的纪律要求</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投标人不得相互串通投标或者与招标人串通投标，不得向招标人或者评标委员会成员行贿谋取中标，不得以他人名义投标或者以其它方式弄虚作假骗取中标；投标人不得以任何方式干扰、影响评标工作。</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9.2.1下列行为均属以他人名义投标：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（1）投标人挂靠其他施工单位；</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（2）投标人从其他施工单位通过转让或租借的方式获取资格或资质证书；</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（3）由其他单位及法定代表人在自己编制的投标文件上加盖印章和签字的行为。</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9.2.2下列行为，视为允许他人以本单位名义承揽工程：</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（1）投标人的法定代表人的委托代理人不是投标人本单位人员；</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（2）投标人拟在施工现场所设项目管理机构的项目负责人、技术负责人、财务负责人、质量管理人员、安全管理人员（专职安全生产管理人员）不是本单位人员。</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投标人本单位人员，必须同时满足以下条件：</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（1）聘任合同必须由投标人单位与之签订；</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（2）与投标人单位有合法的工资关系；</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（3）投标人单位为其办理社会保险关系，或具有其他有效证明其为本单位人员身份的文件。</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9.2.3下列行为均属投标人串通投标报价：</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（1）投标人之间相互约定抬高或压低投标报价；</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（2）投标人之间相互约定，在招标项目中分别以高、中、低价位报价；</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（3）投标人之间先进行内部总价，内定中标人，然后再参加投标；</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（4）投标人之间其他串通投标报价的行为。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9.3 对评标委员会成员的纪律要求</w:t>
      </w:r>
    </w:p>
    <w:p>
      <w:pPr>
        <w:spacing w:line="400" w:lineRule="exact"/>
        <w:ind w:firstLine="420" w:firstLineChars="200"/>
        <w:rPr>
          <w:color w:val="000000"/>
          <w:highlight w:val="none"/>
        </w:rPr>
      </w:pPr>
      <w:r>
        <w:rPr>
          <w:rFonts w:hint="eastAsia"/>
          <w:color w:val="000000"/>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9.4 对与评标活动有关的工作人员的纪律要求</w:t>
      </w:r>
    </w:p>
    <w:p>
      <w:pPr>
        <w:spacing w:line="400" w:lineRule="exact"/>
        <w:ind w:firstLine="420" w:firstLineChars="200"/>
        <w:rPr>
          <w:color w:val="000000"/>
          <w:highlight w:val="none"/>
        </w:rPr>
      </w:pPr>
      <w:r>
        <w:rPr>
          <w:rFonts w:hint="eastAsia"/>
          <w:color w:val="000000"/>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9.5 投诉</w:t>
      </w:r>
    </w:p>
    <w:p>
      <w:pPr>
        <w:spacing w:line="400" w:lineRule="exact"/>
        <w:ind w:firstLine="420" w:firstLineChars="200"/>
        <w:rPr>
          <w:color w:val="000000"/>
          <w:highlight w:val="none"/>
        </w:rPr>
      </w:pPr>
      <w:r>
        <w:rPr>
          <w:rFonts w:hint="eastAsia"/>
          <w:color w:val="000000"/>
          <w:highlight w:val="none"/>
        </w:rPr>
        <w:t>投标人和其他利害关系人认为本次招标活动违反法律、法规和规章规定的，有权向有关行政监督部门投诉。</w:t>
      </w:r>
    </w:p>
    <w:p>
      <w:pPr>
        <w:rPr>
          <w:highlight w:val="none"/>
        </w:rPr>
      </w:pPr>
      <w:bookmarkStart w:id="102" w:name="EB9cf5b5d6d416416da9992d329d5dcdec"/>
      <w:bookmarkEnd w:id="102"/>
      <w:bookmarkStart w:id="103" w:name="EBf348121a845a4fb988a822a13002902c"/>
      <w:bookmarkEnd w:id="103"/>
      <w:bookmarkStart w:id="104" w:name="EB84b155ad07d04a3b9bb115bc408c6af1"/>
      <w:bookmarkEnd w:id="104"/>
    </w:p>
    <w:p>
      <w:pPr>
        <w:pStyle w:val="3"/>
        <w:spacing w:line="400" w:lineRule="exact"/>
        <w:rPr>
          <w:color w:val="000000"/>
          <w:sz w:val="27"/>
          <w:szCs w:val="27"/>
          <w:highlight w:val="none"/>
        </w:rPr>
      </w:pPr>
      <w:bookmarkStart w:id="105" w:name="_Toc256000014"/>
      <w:bookmarkStart w:id="106" w:name="_Toc49869976"/>
      <w:r>
        <w:rPr>
          <w:rFonts w:hint="eastAsia"/>
          <w:color w:val="000000"/>
          <w:sz w:val="27"/>
          <w:szCs w:val="27"/>
          <w:highlight w:val="none"/>
        </w:rPr>
        <w:t>10需要补充的其他内容</w:t>
      </w:r>
      <w:bookmarkEnd w:id="105"/>
      <w:bookmarkEnd w:id="106"/>
    </w:p>
    <w:p>
      <w:pPr>
        <w:spacing w:line="400" w:lineRule="exact"/>
        <w:ind w:firstLine="420" w:firstLineChars="200"/>
        <w:rPr>
          <w:color w:val="000000"/>
          <w:highlight w:val="none"/>
        </w:rPr>
      </w:pPr>
      <w:r>
        <w:rPr>
          <w:rFonts w:hint="eastAsia"/>
          <w:color w:val="000000"/>
          <w:highlight w:val="none"/>
        </w:rPr>
        <w:t>需要补充的其他内容：见投标人须知前附表。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10.1类似项目</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类似项目的要求见投标人须知前附表。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10.2已标价工程量清单电子版</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投标人递交投标文件时，应同时提交已标价工程量清单电子版，份数及格式见投标人须知前附表。</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10.3原件</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招标人须知前附表要求投标人递交原件的，投标人应在递交投标文件时按第8章投标文件格式中“十、原件的复印件”所列清单提交原件。原件经查验后退回投标人。</w:t>
      </w:r>
    </w:p>
    <w:p>
      <w:pPr>
        <w:spacing w:line="400" w:lineRule="exact"/>
        <w:rPr>
          <w:rFonts w:ascii="宋体" w:hAnsi="宋体"/>
          <w:b/>
          <w:color w:val="000000"/>
          <w:sz w:val="23"/>
          <w:szCs w:val="23"/>
          <w:highlight w:val="none"/>
        </w:rPr>
      </w:pPr>
      <w:r>
        <w:rPr>
          <w:rFonts w:hint="eastAsia" w:ascii="宋体" w:hAnsi="宋体"/>
          <w:b/>
          <w:color w:val="000000"/>
          <w:sz w:val="23"/>
          <w:szCs w:val="23"/>
          <w:highlight w:val="none"/>
        </w:rPr>
        <w:t>10.4中标人的投标文件</w:t>
      </w:r>
    </w:p>
    <w:p>
      <w:pPr>
        <w:spacing w:line="400" w:lineRule="exact"/>
        <w:ind w:right="248" w:firstLine="420" w:firstLineChars="200"/>
        <w:rPr>
          <w:rFonts w:ascii="宋体" w:hAnsi="宋体"/>
          <w:color w:val="000000"/>
          <w:szCs w:val="21"/>
          <w:highlight w:val="none"/>
        </w:rPr>
      </w:pPr>
      <w:r>
        <w:rPr>
          <w:rFonts w:hint="eastAsia" w:ascii="宋体" w:hAnsi="宋体"/>
          <w:color w:val="000000"/>
          <w:szCs w:val="21"/>
          <w:highlight w:val="none"/>
        </w:rPr>
        <w:t>中标人须在签订合同前向招标人另行提交投标人须知前附表规定份数的投标文件副本。</w:t>
      </w: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spacing w:line="400" w:lineRule="exact"/>
        <w:rPr>
          <w:rFonts w:ascii="Arial" w:hAnsi="Arial" w:eastAsia="黑体"/>
          <w:color w:val="000000"/>
          <w:sz w:val="20"/>
          <w:szCs w:val="20"/>
          <w:highlight w:val="none"/>
        </w:rPr>
      </w:pPr>
    </w:p>
    <w:p>
      <w:pPr>
        <w:pStyle w:val="3"/>
        <w:spacing w:line="400" w:lineRule="exact"/>
        <w:rPr>
          <w:rFonts w:ascii="黑体" w:hAnsi="黑体"/>
          <w:color w:val="000000"/>
          <w:sz w:val="27"/>
          <w:szCs w:val="27"/>
          <w:highlight w:val="none"/>
        </w:rPr>
      </w:pPr>
      <w:bookmarkStart w:id="107" w:name="_Toc256000015"/>
      <w:bookmarkStart w:id="108" w:name="_Toc49869977"/>
      <w:r>
        <w:rPr>
          <w:rFonts w:hint="eastAsia"/>
          <w:color w:val="000000"/>
          <w:sz w:val="27"/>
          <w:szCs w:val="27"/>
          <w:highlight w:val="none"/>
        </w:rPr>
        <w:t>附表一：招标文件澄清申请函（格式）</w:t>
      </w:r>
      <w:bookmarkEnd w:id="107"/>
      <w:bookmarkEnd w:id="108"/>
    </w:p>
    <w:p>
      <w:pPr>
        <w:spacing w:line="400" w:lineRule="exact"/>
        <w:rPr>
          <w:color w:val="000000"/>
          <w:sz w:val="20"/>
          <w:szCs w:val="20"/>
          <w:highlight w:val="none"/>
        </w:rPr>
      </w:pPr>
    </w:p>
    <w:p>
      <w:pPr>
        <w:spacing w:line="400" w:lineRule="exact"/>
        <w:ind w:firstLine="2194" w:firstLineChars="950"/>
        <w:rPr>
          <w:b/>
          <w:color w:val="000000"/>
          <w:sz w:val="23"/>
          <w:szCs w:val="23"/>
          <w:highlight w:val="none"/>
        </w:rPr>
      </w:pPr>
      <w:r>
        <w:rPr>
          <w:rFonts w:hint="eastAsia"/>
          <w:b/>
          <w:color w:val="000000"/>
          <w:sz w:val="23"/>
          <w:szCs w:val="23"/>
          <w:highlight w:val="none"/>
        </w:rPr>
        <w:t>招标文件澄清申请函（格式）</w:t>
      </w:r>
    </w:p>
    <w:p>
      <w:pPr>
        <w:spacing w:line="400" w:lineRule="exact"/>
        <w:ind w:firstLine="3150" w:firstLineChars="1500"/>
        <w:rPr>
          <w:color w:val="000000"/>
          <w:szCs w:val="21"/>
          <w:highlight w:val="none"/>
        </w:rPr>
      </w:pPr>
      <w:r>
        <w:rPr>
          <w:rFonts w:hint="eastAsia"/>
          <w:color w:val="000000"/>
          <w:szCs w:val="21"/>
          <w:highlight w:val="none"/>
        </w:rPr>
        <w:t>编号：</w:t>
      </w:r>
    </w:p>
    <w:p>
      <w:pPr>
        <w:spacing w:line="400" w:lineRule="exact"/>
        <w:ind w:firstLine="525" w:firstLineChars="250"/>
        <w:rPr>
          <w:color w:val="000000"/>
          <w:szCs w:val="21"/>
          <w:highlight w:val="none"/>
          <w:u w:val="single"/>
        </w:rPr>
      </w:pPr>
      <w:r>
        <w:rPr>
          <w:rFonts w:hint="eastAsia"/>
          <w:color w:val="000000"/>
          <w:szCs w:val="21"/>
          <w:highlight w:val="none"/>
          <w:u w:val="single"/>
        </w:rPr>
        <w:t xml:space="preserve">    （</w:t>
      </w:r>
      <w:r>
        <w:rPr>
          <w:rFonts w:hint="eastAsia" w:ascii="仿宋_GB2312" w:eastAsia="仿宋_GB2312"/>
          <w:color w:val="000000"/>
          <w:szCs w:val="21"/>
          <w:highlight w:val="none"/>
          <w:u w:val="single"/>
        </w:rPr>
        <w:t>招标人名称</w:t>
      </w:r>
      <w:r>
        <w:rPr>
          <w:rFonts w:hint="eastAsia"/>
          <w:color w:val="000000"/>
          <w:szCs w:val="21"/>
          <w:highlight w:val="none"/>
          <w:u w:val="single"/>
        </w:rPr>
        <w:t xml:space="preserve">）     </w:t>
      </w:r>
      <w:r>
        <w:rPr>
          <w:rFonts w:hint="eastAsia"/>
          <w:color w:val="000000"/>
          <w:szCs w:val="21"/>
          <w:highlight w:val="none"/>
        </w:rPr>
        <w:t>：</w:t>
      </w:r>
    </w:p>
    <w:p>
      <w:pPr>
        <w:spacing w:line="400" w:lineRule="exact"/>
        <w:ind w:firstLine="420" w:firstLineChars="200"/>
        <w:rPr>
          <w:color w:val="000000"/>
          <w:szCs w:val="21"/>
          <w:highlight w:val="none"/>
        </w:rPr>
      </w:pPr>
      <w:r>
        <w:rPr>
          <w:rFonts w:hint="eastAsia"/>
          <w:color w:val="000000"/>
          <w:szCs w:val="21"/>
          <w:highlight w:val="none"/>
        </w:rPr>
        <w:t xml:space="preserve">经过仔细阅读  </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项目名称</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标段名称</w:t>
      </w:r>
      <w:r>
        <w:rPr>
          <w:rFonts w:hint="eastAsia"/>
          <w:color w:val="000000"/>
          <w:szCs w:val="21"/>
          <w:highlight w:val="none"/>
        </w:rPr>
        <w:t>）招标文件后，我方申请对以下问题予以澄清：</w:t>
      </w:r>
    </w:p>
    <w:p>
      <w:pPr>
        <w:spacing w:line="400" w:lineRule="exact"/>
        <w:ind w:firstLine="525" w:firstLineChars="250"/>
        <w:rPr>
          <w:color w:val="000000"/>
          <w:szCs w:val="21"/>
          <w:highlight w:val="none"/>
        </w:rPr>
      </w:pPr>
      <w:r>
        <w:rPr>
          <w:rFonts w:hint="eastAsia"/>
          <w:color w:val="000000"/>
          <w:szCs w:val="21"/>
          <w:highlight w:val="none"/>
        </w:rPr>
        <w:t>1、………</w:t>
      </w:r>
    </w:p>
    <w:p>
      <w:pPr>
        <w:spacing w:line="400" w:lineRule="exact"/>
        <w:ind w:firstLine="525" w:firstLineChars="250"/>
        <w:rPr>
          <w:color w:val="000000"/>
          <w:szCs w:val="21"/>
          <w:highlight w:val="none"/>
        </w:rPr>
      </w:pPr>
      <w:r>
        <w:rPr>
          <w:rFonts w:hint="eastAsia"/>
          <w:color w:val="000000"/>
          <w:szCs w:val="21"/>
          <w:highlight w:val="none"/>
        </w:rPr>
        <w:t>2、………</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rPr>
          <w:color w:val="000000"/>
          <w:szCs w:val="21"/>
          <w:highlight w:val="none"/>
        </w:rPr>
      </w:pPr>
      <w:r>
        <w:rPr>
          <w:rFonts w:hint="eastAsia"/>
          <w:color w:val="000000"/>
          <w:szCs w:val="21"/>
          <w:highlight w:val="none"/>
        </w:rPr>
        <w:t xml:space="preserve">  </w:t>
      </w:r>
    </w:p>
    <w:p>
      <w:pPr>
        <w:spacing w:line="400" w:lineRule="exact"/>
        <w:ind w:firstLine="2415" w:firstLineChars="1150"/>
        <w:rPr>
          <w:color w:val="000000"/>
          <w:szCs w:val="21"/>
          <w:highlight w:val="none"/>
        </w:rPr>
      </w:pPr>
    </w:p>
    <w:p>
      <w:pPr>
        <w:spacing w:line="400" w:lineRule="exact"/>
        <w:ind w:firstLine="4620" w:firstLineChars="2200"/>
        <w:rPr>
          <w:color w:val="000000"/>
          <w:szCs w:val="21"/>
          <w:highlight w:val="none"/>
        </w:rPr>
      </w:pPr>
      <w:r>
        <w:rPr>
          <w:rFonts w:hint="eastAsia"/>
          <w:color w:val="000000"/>
          <w:szCs w:val="21"/>
          <w:highlight w:val="none"/>
        </w:rPr>
        <w:t>投标人：</w:t>
      </w:r>
      <w:r>
        <w:rPr>
          <w:rFonts w:hint="eastAsia"/>
          <w:color w:val="000000"/>
          <w:szCs w:val="21"/>
          <w:highlight w:val="none"/>
          <w:u w:val="single"/>
        </w:rPr>
        <w:t xml:space="preserve">                      </w:t>
      </w:r>
      <w:r>
        <w:rPr>
          <w:rFonts w:hint="eastAsia"/>
          <w:color w:val="000000"/>
          <w:szCs w:val="21"/>
          <w:highlight w:val="none"/>
        </w:rPr>
        <w:t>（盖单位章）</w:t>
      </w:r>
    </w:p>
    <w:p>
      <w:pPr>
        <w:spacing w:line="400" w:lineRule="exact"/>
        <w:ind w:firstLine="2415" w:firstLineChars="1150"/>
        <w:rPr>
          <w:color w:val="000000"/>
          <w:szCs w:val="21"/>
          <w:highlight w:val="none"/>
        </w:rPr>
      </w:pPr>
    </w:p>
    <w:p>
      <w:pPr>
        <w:spacing w:line="400" w:lineRule="exact"/>
        <w:ind w:firstLine="6615" w:firstLineChars="3150"/>
        <w:rPr>
          <w:color w:val="000000"/>
          <w:szCs w:val="21"/>
          <w:highlight w:val="none"/>
        </w:rPr>
      </w:pPr>
      <w:r>
        <w:rPr>
          <w:rFonts w:hint="eastAsia"/>
          <w:color w:val="000000"/>
          <w:szCs w:val="21"/>
          <w:highlight w:val="none"/>
        </w:rPr>
        <w:t>年       月         日</w:t>
      </w:r>
    </w:p>
    <w:p>
      <w:pPr>
        <w:spacing w:line="400" w:lineRule="exact"/>
        <w:ind w:firstLine="2415" w:firstLineChars="1150"/>
        <w:rPr>
          <w:color w:val="000000"/>
          <w:szCs w:val="21"/>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rPr>
          <w:rFonts w:ascii="宋体" w:hAnsi="宋体" w:cs="宋体"/>
          <w:color w:val="000000"/>
          <w:sz w:val="20"/>
          <w:szCs w:val="20"/>
          <w:highlight w:val="none"/>
        </w:rPr>
      </w:pPr>
      <w:r>
        <w:rPr>
          <w:rFonts w:hint="eastAsia" w:ascii="宋体" w:hAnsi="宋体" w:cs="宋体"/>
          <w:color w:val="000000"/>
          <w:sz w:val="20"/>
          <w:szCs w:val="20"/>
          <w:highlight w:val="none"/>
        </w:rPr>
        <w:t>注:投标人要求招标人澄清招标文件有关问题时，适用于本格式。</w:t>
      </w: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pStyle w:val="14"/>
        <w:spacing w:line="400" w:lineRule="exact"/>
        <w:rPr>
          <w:rFonts w:ascii="黑体" w:hAnsi="黑体" w:eastAsia="黑体"/>
          <w:color w:val="000000"/>
          <w:sz w:val="23"/>
          <w:szCs w:val="23"/>
          <w:highlight w:val="none"/>
        </w:rPr>
      </w:pPr>
    </w:p>
    <w:p>
      <w:pPr>
        <w:pStyle w:val="3"/>
        <w:spacing w:line="400" w:lineRule="exact"/>
        <w:rPr>
          <w:rFonts w:hint="eastAsia"/>
          <w:color w:val="000000"/>
          <w:sz w:val="27"/>
          <w:szCs w:val="27"/>
          <w:highlight w:val="none"/>
        </w:rPr>
      </w:pPr>
      <w:bookmarkStart w:id="109" w:name="_Toc49869978"/>
      <w:bookmarkStart w:id="110" w:name="_Toc256000016"/>
    </w:p>
    <w:p>
      <w:pPr>
        <w:pStyle w:val="3"/>
        <w:spacing w:line="400" w:lineRule="exact"/>
        <w:rPr>
          <w:color w:val="000000"/>
          <w:sz w:val="27"/>
          <w:szCs w:val="27"/>
          <w:highlight w:val="none"/>
        </w:rPr>
      </w:pPr>
      <w:r>
        <w:rPr>
          <w:rFonts w:hint="eastAsia"/>
          <w:color w:val="000000"/>
          <w:sz w:val="27"/>
          <w:szCs w:val="27"/>
          <w:highlight w:val="none"/>
        </w:rPr>
        <w:t>附表二：招标文件澄清通知（格式）</w:t>
      </w:r>
      <w:bookmarkEnd w:id="109"/>
      <w:bookmarkEnd w:id="110"/>
    </w:p>
    <w:p>
      <w:pPr>
        <w:spacing w:line="400" w:lineRule="exact"/>
        <w:rPr>
          <w:color w:val="000000"/>
          <w:sz w:val="20"/>
          <w:szCs w:val="20"/>
          <w:highlight w:val="none"/>
        </w:rPr>
      </w:pPr>
    </w:p>
    <w:p>
      <w:pPr>
        <w:spacing w:line="400" w:lineRule="exact"/>
        <w:ind w:firstLine="1847" w:firstLineChars="800"/>
        <w:rPr>
          <w:b/>
          <w:color w:val="000000"/>
          <w:sz w:val="23"/>
          <w:szCs w:val="23"/>
          <w:highlight w:val="none"/>
        </w:rPr>
      </w:pPr>
      <w:r>
        <w:rPr>
          <w:rFonts w:hint="eastAsia"/>
          <w:b/>
          <w:color w:val="000000"/>
          <w:sz w:val="23"/>
          <w:szCs w:val="23"/>
          <w:highlight w:val="none"/>
        </w:rPr>
        <w:t>招标文件澄清通知（格式）</w:t>
      </w:r>
    </w:p>
    <w:p>
      <w:pPr>
        <w:spacing w:line="400" w:lineRule="exact"/>
        <w:ind w:firstLine="3360" w:firstLineChars="1600"/>
        <w:rPr>
          <w:color w:val="000000"/>
          <w:szCs w:val="21"/>
          <w:highlight w:val="none"/>
        </w:rPr>
      </w:pPr>
      <w:r>
        <w:rPr>
          <w:rFonts w:hint="eastAsia"/>
          <w:color w:val="000000"/>
          <w:szCs w:val="21"/>
          <w:highlight w:val="none"/>
        </w:rPr>
        <w:t>编号：</w:t>
      </w:r>
    </w:p>
    <w:p>
      <w:pPr>
        <w:spacing w:line="400" w:lineRule="exact"/>
        <w:ind w:firstLine="525" w:firstLineChars="250"/>
        <w:rPr>
          <w:color w:val="000000"/>
          <w:szCs w:val="21"/>
          <w:highlight w:val="none"/>
        </w:rPr>
      </w:pPr>
      <w:r>
        <w:rPr>
          <w:rFonts w:hint="eastAsia"/>
          <w:color w:val="000000"/>
          <w:szCs w:val="21"/>
          <w:highlight w:val="none"/>
          <w:u w:val="single"/>
        </w:rPr>
        <w:t xml:space="preserve">    （</w:t>
      </w:r>
      <w:r>
        <w:rPr>
          <w:rFonts w:hint="eastAsia" w:ascii="仿宋_GB2312" w:eastAsia="仿宋_GB2312"/>
          <w:color w:val="000000"/>
          <w:szCs w:val="21"/>
          <w:highlight w:val="none"/>
          <w:u w:val="single"/>
        </w:rPr>
        <w:t>投标人名称</w:t>
      </w:r>
      <w:r>
        <w:rPr>
          <w:rFonts w:hint="eastAsia"/>
          <w:color w:val="000000"/>
          <w:szCs w:val="21"/>
          <w:highlight w:val="none"/>
          <w:u w:val="single"/>
        </w:rPr>
        <w:t xml:space="preserve">）    </w:t>
      </w:r>
      <w:r>
        <w:rPr>
          <w:rFonts w:hint="eastAsia"/>
          <w:color w:val="000000"/>
          <w:szCs w:val="21"/>
          <w:highlight w:val="none"/>
        </w:rPr>
        <w:t>：</w:t>
      </w:r>
    </w:p>
    <w:p>
      <w:pPr>
        <w:spacing w:line="400" w:lineRule="exact"/>
        <w:ind w:firstLine="525" w:firstLineChars="250"/>
        <w:rPr>
          <w:color w:val="000000"/>
          <w:szCs w:val="21"/>
          <w:highlight w:val="none"/>
        </w:rPr>
      </w:pPr>
      <w:r>
        <w:rPr>
          <w:rFonts w:hint="eastAsia"/>
          <w:color w:val="000000"/>
          <w:szCs w:val="21"/>
          <w:highlight w:val="none"/>
        </w:rPr>
        <w:t xml:space="preserve">经研究，对 </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项目名称</w:t>
      </w:r>
      <w:r>
        <w:rPr>
          <w:rFonts w:hint="eastAsia" w:ascii="仿宋_GB2312" w:eastAsia="仿宋_GB2312"/>
          <w:color w:val="000000"/>
          <w:szCs w:val="21"/>
          <w:highlight w:val="none"/>
          <w:u w:val="single"/>
        </w:rPr>
        <w:t xml:space="preserve">）         </w:t>
      </w:r>
      <w:r>
        <w:rPr>
          <w:rFonts w:hint="eastAsia" w:ascii="仿宋_GB2312" w:eastAsia="仿宋_GB2312"/>
          <w:color w:val="000000"/>
          <w:szCs w:val="21"/>
          <w:highlight w:val="none"/>
        </w:rPr>
        <w:t>（ 标段名称</w:t>
      </w:r>
      <w:r>
        <w:rPr>
          <w:rFonts w:hint="eastAsia"/>
          <w:color w:val="000000"/>
          <w:szCs w:val="21"/>
          <w:highlight w:val="none"/>
        </w:rPr>
        <w:t>）招标文件，作如下澄清：</w:t>
      </w:r>
    </w:p>
    <w:p>
      <w:pPr>
        <w:spacing w:line="400" w:lineRule="exact"/>
        <w:ind w:firstLine="525" w:firstLineChars="250"/>
        <w:rPr>
          <w:color w:val="000000"/>
          <w:szCs w:val="21"/>
          <w:highlight w:val="none"/>
        </w:rPr>
      </w:pPr>
      <w:r>
        <w:rPr>
          <w:rFonts w:hint="eastAsia"/>
          <w:color w:val="000000"/>
          <w:szCs w:val="21"/>
          <w:highlight w:val="none"/>
        </w:rPr>
        <w:t>1、………</w:t>
      </w:r>
    </w:p>
    <w:p>
      <w:pPr>
        <w:spacing w:line="400" w:lineRule="exact"/>
        <w:ind w:firstLine="525" w:firstLineChars="250"/>
        <w:rPr>
          <w:color w:val="000000"/>
          <w:szCs w:val="21"/>
          <w:highlight w:val="none"/>
        </w:rPr>
      </w:pPr>
      <w:r>
        <w:rPr>
          <w:rFonts w:hint="eastAsia"/>
          <w:color w:val="000000"/>
          <w:szCs w:val="21"/>
          <w:highlight w:val="none"/>
        </w:rPr>
        <w:t>2、………</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rPr>
          <w:color w:val="000000"/>
          <w:szCs w:val="21"/>
          <w:highlight w:val="none"/>
        </w:rPr>
      </w:pPr>
      <w:r>
        <w:rPr>
          <w:rFonts w:hint="eastAsia"/>
          <w:color w:val="000000"/>
          <w:szCs w:val="21"/>
          <w:highlight w:val="none"/>
        </w:rPr>
        <w:t xml:space="preserve">     请收到本通知后以书面形式按招标文件第2章附件四格式在</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日前回复确认，同时采用传真方式发至</w:t>
      </w:r>
      <w:r>
        <w:rPr>
          <w:rFonts w:hint="eastAsia"/>
          <w:color w:val="000000"/>
          <w:szCs w:val="21"/>
          <w:highlight w:val="none"/>
          <w:u w:val="single"/>
        </w:rPr>
        <w:t xml:space="preserve">            </w:t>
      </w:r>
      <w:r>
        <w:rPr>
          <w:rFonts w:hint="eastAsia"/>
          <w:color w:val="000000"/>
          <w:szCs w:val="21"/>
          <w:highlight w:val="none"/>
        </w:rPr>
        <w:t>。</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4620" w:firstLineChars="2200"/>
        <w:rPr>
          <w:color w:val="000000"/>
          <w:szCs w:val="21"/>
          <w:highlight w:val="none"/>
          <w:u w:val="single"/>
        </w:rPr>
      </w:pPr>
      <w:r>
        <w:rPr>
          <w:rFonts w:hint="eastAsia"/>
          <w:color w:val="000000"/>
          <w:szCs w:val="21"/>
          <w:highlight w:val="none"/>
        </w:rPr>
        <w:t>招标人：</w:t>
      </w:r>
      <w:r>
        <w:rPr>
          <w:rFonts w:hint="eastAsia"/>
          <w:color w:val="000000"/>
          <w:szCs w:val="21"/>
          <w:highlight w:val="none"/>
          <w:u w:val="single"/>
        </w:rPr>
        <w:t xml:space="preserve">                      </w:t>
      </w:r>
      <w:r>
        <w:rPr>
          <w:rFonts w:hint="eastAsia"/>
          <w:color w:val="000000"/>
          <w:szCs w:val="21"/>
          <w:highlight w:val="none"/>
        </w:rPr>
        <w:t>（盖单位章）</w:t>
      </w:r>
    </w:p>
    <w:p>
      <w:pPr>
        <w:spacing w:line="400" w:lineRule="exact"/>
        <w:ind w:firstLine="2415" w:firstLineChars="1150"/>
        <w:rPr>
          <w:color w:val="000000"/>
          <w:szCs w:val="21"/>
          <w:highlight w:val="none"/>
        </w:rPr>
      </w:pPr>
    </w:p>
    <w:p>
      <w:pPr>
        <w:spacing w:line="400" w:lineRule="exact"/>
        <w:jc w:val="right"/>
        <w:rPr>
          <w:color w:val="000000"/>
          <w:szCs w:val="21"/>
          <w:highlight w:val="none"/>
        </w:rPr>
      </w:pPr>
      <w:r>
        <w:rPr>
          <w:rFonts w:hint="eastAsia"/>
          <w:color w:val="000000"/>
          <w:szCs w:val="21"/>
          <w:highlight w:val="none"/>
        </w:rPr>
        <w:t>年       月         日</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rPr>
          <w:rFonts w:ascii="华文仿宋" w:hAnsi="华文仿宋" w:eastAsia="华文仿宋"/>
          <w:color w:val="000000"/>
          <w:szCs w:val="21"/>
          <w:highlight w:val="none"/>
        </w:rPr>
      </w:pPr>
    </w:p>
    <w:p>
      <w:pPr>
        <w:spacing w:line="400" w:lineRule="exact"/>
        <w:rPr>
          <w:rFonts w:ascii="华文仿宋" w:hAnsi="华文仿宋" w:eastAsia="华文仿宋"/>
          <w:color w:val="000000"/>
          <w:szCs w:val="21"/>
          <w:highlight w:val="none"/>
        </w:rPr>
      </w:pPr>
    </w:p>
    <w:p>
      <w:pPr>
        <w:spacing w:line="400" w:lineRule="exact"/>
        <w:rPr>
          <w:rFonts w:ascii="华文仿宋" w:hAnsi="华文仿宋" w:eastAsia="华文仿宋"/>
          <w:color w:val="000000"/>
          <w:sz w:val="20"/>
          <w:szCs w:val="20"/>
          <w:highlight w:val="none"/>
        </w:rPr>
      </w:pPr>
    </w:p>
    <w:p>
      <w:pPr>
        <w:spacing w:line="400" w:lineRule="exact"/>
        <w:rPr>
          <w:rFonts w:ascii="华文仿宋" w:hAnsi="华文仿宋" w:eastAsia="华文仿宋"/>
          <w:color w:val="000000"/>
          <w:sz w:val="20"/>
          <w:szCs w:val="20"/>
          <w:highlight w:val="none"/>
        </w:rPr>
      </w:pPr>
    </w:p>
    <w:p>
      <w:pPr>
        <w:spacing w:line="400" w:lineRule="exact"/>
        <w:rPr>
          <w:rFonts w:ascii="华文仿宋" w:hAnsi="华文仿宋" w:eastAsia="华文仿宋"/>
          <w:color w:val="000000"/>
          <w:sz w:val="20"/>
          <w:szCs w:val="20"/>
          <w:highlight w:val="none"/>
        </w:rPr>
      </w:pPr>
    </w:p>
    <w:p>
      <w:pPr>
        <w:spacing w:line="400" w:lineRule="exact"/>
        <w:rPr>
          <w:rFonts w:ascii="宋体" w:hAnsi="宋体" w:cs="宋体"/>
          <w:color w:val="000000"/>
          <w:sz w:val="20"/>
          <w:szCs w:val="20"/>
          <w:highlight w:val="none"/>
        </w:rPr>
      </w:pPr>
      <w:r>
        <w:rPr>
          <w:rFonts w:hint="eastAsia" w:ascii="宋体" w:hAnsi="宋体" w:cs="宋体"/>
          <w:color w:val="000000"/>
          <w:sz w:val="20"/>
          <w:szCs w:val="20"/>
          <w:highlight w:val="none"/>
        </w:rPr>
        <w:t>注:招标人对招标文件澄清时，适用于本格式。招标人可根据需要将附件二与附件三内容合并发出。</w:t>
      </w: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rPr>
          <w:color w:val="000000"/>
          <w:sz w:val="20"/>
          <w:szCs w:val="20"/>
          <w:highlight w:val="none"/>
          <w:u w:val="single"/>
        </w:rPr>
      </w:pPr>
    </w:p>
    <w:p>
      <w:pPr>
        <w:pStyle w:val="3"/>
        <w:spacing w:line="400" w:lineRule="exact"/>
        <w:rPr>
          <w:color w:val="000000"/>
          <w:sz w:val="27"/>
          <w:szCs w:val="27"/>
          <w:highlight w:val="none"/>
        </w:rPr>
      </w:pPr>
      <w:bookmarkStart w:id="111" w:name="_Toc49869979"/>
      <w:bookmarkStart w:id="112" w:name="_Toc256000017"/>
      <w:r>
        <w:rPr>
          <w:rFonts w:hint="eastAsia"/>
          <w:color w:val="000000"/>
          <w:sz w:val="27"/>
          <w:szCs w:val="27"/>
          <w:highlight w:val="none"/>
        </w:rPr>
        <w:t>附表三：招标文件修改通知（格式）</w:t>
      </w:r>
      <w:bookmarkEnd w:id="111"/>
      <w:bookmarkEnd w:id="112"/>
    </w:p>
    <w:p>
      <w:pPr>
        <w:spacing w:line="400" w:lineRule="exact"/>
        <w:rPr>
          <w:color w:val="000000"/>
          <w:sz w:val="20"/>
          <w:szCs w:val="20"/>
          <w:highlight w:val="none"/>
        </w:rPr>
      </w:pPr>
    </w:p>
    <w:p>
      <w:pPr>
        <w:spacing w:line="400" w:lineRule="exact"/>
        <w:ind w:firstLine="1616" w:firstLineChars="700"/>
        <w:rPr>
          <w:b/>
          <w:color w:val="000000"/>
          <w:sz w:val="23"/>
          <w:szCs w:val="23"/>
          <w:highlight w:val="none"/>
        </w:rPr>
      </w:pPr>
      <w:r>
        <w:rPr>
          <w:rFonts w:hint="eastAsia"/>
          <w:b/>
          <w:color w:val="000000"/>
          <w:sz w:val="23"/>
          <w:szCs w:val="23"/>
          <w:highlight w:val="none"/>
        </w:rPr>
        <w:t>招标文件修改通知（格式）</w:t>
      </w:r>
    </w:p>
    <w:p>
      <w:pPr>
        <w:spacing w:line="400" w:lineRule="exact"/>
        <w:ind w:firstLine="3360" w:firstLineChars="1600"/>
        <w:rPr>
          <w:color w:val="000000"/>
          <w:szCs w:val="21"/>
          <w:highlight w:val="none"/>
        </w:rPr>
      </w:pPr>
      <w:r>
        <w:rPr>
          <w:rFonts w:hint="eastAsia"/>
          <w:color w:val="000000"/>
          <w:szCs w:val="21"/>
          <w:highlight w:val="none"/>
        </w:rPr>
        <w:t>编号：</w:t>
      </w:r>
    </w:p>
    <w:p>
      <w:pPr>
        <w:spacing w:line="400" w:lineRule="exact"/>
        <w:ind w:firstLine="525" w:firstLineChars="250"/>
        <w:rPr>
          <w:color w:val="000000"/>
          <w:szCs w:val="21"/>
          <w:highlight w:val="none"/>
          <w:u w:val="single"/>
        </w:rPr>
      </w:pPr>
      <w:r>
        <w:rPr>
          <w:rFonts w:hint="eastAsia"/>
          <w:color w:val="000000"/>
          <w:szCs w:val="21"/>
          <w:highlight w:val="none"/>
          <w:u w:val="single"/>
        </w:rPr>
        <w:t xml:space="preserve">     （</w:t>
      </w:r>
      <w:r>
        <w:rPr>
          <w:rFonts w:hint="eastAsia" w:ascii="仿宋_GB2312" w:eastAsia="仿宋_GB2312"/>
          <w:color w:val="000000"/>
          <w:szCs w:val="21"/>
          <w:highlight w:val="none"/>
          <w:u w:val="single"/>
        </w:rPr>
        <w:t>投标人名称</w:t>
      </w:r>
      <w:r>
        <w:rPr>
          <w:rFonts w:hint="eastAsia"/>
          <w:color w:val="000000"/>
          <w:szCs w:val="21"/>
          <w:highlight w:val="none"/>
          <w:u w:val="single"/>
        </w:rPr>
        <w:t xml:space="preserve">）   </w:t>
      </w:r>
    </w:p>
    <w:p>
      <w:pPr>
        <w:spacing w:line="400" w:lineRule="exact"/>
        <w:ind w:firstLine="525" w:firstLineChars="250"/>
        <w:rPr>
          <w:color w:val="000000"/>
          <w:szCs w:val="21"/>
          <w:highlight w:val="none"/>
        </w:rPr>
      </w:pPr>
      <w:r>
        <w:rPr>
          <w:rFonts w:hint="eastAsia"/>
          <w:color w:val="000000"/>
          <w:szCs w:val="21"/>
          <w:highlight w:val="none"/>
        </w:rPr>
        <w:t xml:space="preserve">经研究，对  </w:t>
      </w:r>
      <w:r>
        <w:rPr>
          <w:rFonts w:hint="eastAsia"/>
          <w:color w:val="000000"/>
          <w:szCs w:val="21"/>
          <w:highlight w:val="none"/>
          <w:u w:val="single"/>
        </w:rPr>
        <w:t xml:space="preserve">     </w:t>
      </w:r>
      <w:r>
        <w:rPr>
          <w:rFonts w:hint="eastAsia" w:ascii="仿宋_GB2312" w:eastAsia="仿宋_GB2312"/>
          <w:color w:val="000000"/>
          <w:szCs w:val="21"/>
          <w:highlight w:val="none"/>
          <w:u w:val="single"/>
        </w:rPr>
        <w:t xml:space="preserve"> </w:t>
      </w:r>
      <w:r>
        <w:rPr>
          <w:rFonts w:hint="eastAsia" w:ascii="仿宋_GB2312" w:eastAsia="仿宋_GB2312"/>
          <w:color w:val="000000"/>
          <w:szCs w:val="21"/>
          <w:highlight w:val="none"/>
        </w:rPr>
        <w:t>（项目名称</w:t>
      </w:r>
      <w:r>
        <w:rPr>
          <w:rFonts w:hint="eastAsia" w:ascii="仿宋_GB2312" w:eastAsia="仿宋_GB2312"/>
          <w:color w:val="000000"/>
          <w:szCs w:val="21"/>
          <w:highlight w:val="none"/>
          <w:u w:val="single"/>
        </w:rPr>
        <w:t xml:space="preserve">）       </w:t>
      </w:r>
      <w:r>
        <w:rPr>
          <w:rFonts w:hint="eastAsia" w:ascii="仿宋_GB2312" w:eastAsia="仿宋_GB2312"/>
          <w:color w:val="000000"/>
          <w:szCs w:val="21"/>
          <w:highlight w:val="none"/>
        </w:rPr>
        <w:t>（ 标段名称 ）</w:t>
      </w:r>
      <w:r>
        <w:rPr>
          <w:rFonts w:hint="eastAsia"/>
          <w:color w:val="000000"/>
          <w:szCs w:val="21"/>
          <w:highlight w:val="none"/>
        </w:rPr>
        <w:t>招标文件，作如下修改：</w:t>
      </w:r>
    </w:p>
    <w:p>
      <w:pPr>
        <w:spacing w:line="400" w:lineRule="exact"/>
        <w:ind w:firstLine="525" w:firstLineChars="250"/>
        <w:rPr>
          <w:color w:val="000000"/>
          <w:szCs w:val="21"/>
          <w:highlight w:val="none"/>
        </w:rPr>
      </w:pPr>
      <w:r>
        <w:rPr>
          <w:rFonts w:hint="eastAsia"/>
          <w:color w:val="000000"/>
          <w:szCs w:val="21"/>
          <w:highlight w:val="none"/>
        </w:rPr>
        <w:t>1、………</w:t>
      </w:r>
    </w:p>
    <w:p>
      <w:pPr>
        <w:spacing w:line="400" w:lineRule="exact"/>
        <w:ind w:firstLine="525" w:firstLineChars="250"/>
        <w:rPr>
          <w:color w:val="000000"/>
          <w:szCs w:val="21"/>
          <w:highlight w:val="none"/>
        </w:rPr>
      </w:pPr>
      <w:r>
        <w:rPr>
          <w:rFonts w:hint="eastAsia"/>
          <w:color w:val="000000"/>
          <w:szCs w:val="21"/>
          <w:highlight w:val="none"/>
        </w:rPr>
        <w:t>2、………</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735" w:firstLineChars="350"/>
        <w:rPr>
          <w:color w:val="000000"/>
          <w:szCs w:val="21"/>
          <w:highlight w:val="none"/>
        </w:rPr>
      </w:pPr>
      <w:r>
        <w:rPr>
          <w:rFonts w:hint="eastAsia"/>
          <w:color w:val="000000"/>
          <w:szCs w:val="21"/>
          <w:highlight w:val="none"/>
        </w:rPr>
        <w:t>请收到本通知后以书面形式按招标文件第2章附件四格式在</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日前回复确认，同时采用传真方式发至</w:t>
      </w:r>
      <w:r>
        <w:rPr>
          <w:rFonts w:hint="eastAsia"/>
          <w:color w:val="000000"/>
          <w:szCs w:val="21"/>
          <w:highlight w:val="none"/>
          <w:u w:val="single"/>
        </w:rPr>
        <w:t xml:space="preserve">            </w:t>
      </w:r>
      <w:r>
        <w:rPr>
          <w:rFonts w:hint="eastAsia"/>
          <w:color w:val="000000"/>
          <w:szCs w:val="21"/>
          <w:highlight w:val="none"/>
        </w:rPr>
        <w:t>。</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5670" w:firstLineChars="2700"/>
        <w:rPr>
          <w:color w:val="000000"/>
          <w:szCs w:val="21"/>
          <w:highlight w:val="none"/>
        </w:rPr>
      </w:pPr>
      <w:r>
        <w:rPr>
          <w:rFonts w:hint="eastAsia"/>
          <w:color w:val="000000"/>
          <w:szCs w:val="21"/>
          <w:highlight w:val="none"/>
        </w:rPr>
        <w:t>招标人：</w:t>
      </w:r>
      <w:r>
        <w:rPr>
          <w:rFonts w:hint="eastAsia"/>
          <w:color w:val="000000"/>
          <w:szCs w:val="21"/>
          <w:highlight w:val="none"/>
          <w:u w:val="single"/>
        </w:rPr>
        <w:t xml:space="preserve">              </w:t>
      </w:r>
      <w:r>
        <w:rPr>
          <w:rFonts w:hint="eastAsia"/>
          <w:color w:val="000000"/>
          <w:szCs w:val="21"/>
          <w:highlight w:val="none"/>
        </w:rPr>
        <w:t>（盖单位章）</w:t>
      </w:r>
    </w:p>
    <w:p>
      <w:pPr>
        <w:spacing w:line="400" w:lineRule="exact"/>
        <w:ind w:firstLine="2415" w:firstLineChars="1150"/>
        <w:rPr>
          <w:color w:val="000000"/>
          <w:szCs w:val="21"/>
          <w:highlight w:val="none"/>
        </w:rPr>
      </w:pPr>
    </w:p>
    <w:p>
      <w:pPr>
        <w:spacing w:line="400" w:lineRule="exact"/>
        <w:jc w:val="right"/>
        <w:rPr>
          <w:color w:val="000000"/>
          <w:szCs w:val="21"/>
          <w:highlight w:val="none"/>
        </w:rPr>
      </w:pPr>
      <w:r>
        <w:rPr>
          <w:rFonts w:hint="eastAsia"/>
          <w:color w:val="000000"/>
          <w:szCs w:val="21"/>
          <w:highlight w:val="none"/>
        </w:rPr>
        <w:t>年       月         日</w:t>
      </w:r>
    </w:p>
    <w:p>
      <w:pPr>
        <w:spacing w:line="400" w:lineRule="exact"/>
        <w:rPr>
          <w:rFonts w:ascii="宋体" w:hAnsi="宋体" w:cs="宋体"/>
          <w:color w:val="000000"/>
          <w:szCs w:val="21"/>
          <w:highlight w:val="none"/>
        </w:rPr>
      </w:pPr>
    </w:p>
    <w:p>
      <w:pPr>
        <w:spacing w:line="400" w:lineRule="exact"/>
        <w:rPr>
          <w:rFonts w:ascii="宋体" w:hAnsi="宋体" w:cs="宋体"/>
          <w:color w:val="000000"/>
          <w:szCs w:val="21"/>
          <w:highlight w:val="none"/>
        </w:rPr>
      </w:pPr>
    </w:p>
    <w:p>
      <w:pPr>
        <w:spacing w:line="400" w:lineRule="exact"/>
        <w:rPr>
          <w:rFonts w:ascii="华文仿宋" w:hAnsi="华文仿宋" w:eastAsia="华文仿宋"/>
          <w:color w:val="000000"/>
          <w:szCs w:val="21"/>
          <w:highlight w:val="none"/>
        </w:rPr>
      </w:pPr>
      <w:r>
        <w:rPr>
          <w:rFonts w:hint="eastAsia" w:ascii="宋体" w:hAnsi="宋体" w:cs="宋体"/>
          <w:color w:val="000000"/>
          <w:szCs w:val="21"/>
          <w:highlight w:val="none"/>
        </w:rPr>
        <w:t>注:招标人对招标文件修改时，适用于本格式</w:t>
      </w:r>
      <w:r>
        <w:rPr>
          <w:rFonts w:hint="eastAsia" w:ascii="华文仿宋" w:hAnsi="华文仿宋" w:eastAsia="华文仿宋"/>
          <w:color w:val="000000"/>
          <w:szCs w:val="21"/>
          <w:highlight w:val="none"/>
        </w:rPr>
        <w:t xml:space="preserve">。 </w:t>
      </w: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ind w:firstLine="2300" w:firstLineChars="1150"/>
        <w:rPr>
          <w:color w:val="000000"/>
          <w:sz w:val="20"/>
          <w:szCs w:val="20"/>
          <w:highlight w:val="none"/>
        </w:rPr>
      </w:pPr>
    </w:p>
    <w:p>
      <w:pPr>
        <w:spacing w:line="400" w:lineRule="exact"/>
        <w:rPr>
          <w:color w:val="000000"/>
          <w:sz w:val="20"/>
          <w:szCs w:val="20"/>
          <w:highlight w:val="none"/>
        </w:rPr>
      </w:pPr>
    </w:p>
    <w:p>
      <w:pPr>
        <w:pStyle w:val="3"/>
        <w:spacing w:line="400" w:lineRule="exact"/>
        <w:rPr>
          <w:rFonts w:hint="eastAsia"/>
          <w:color w:val="000000"/>
          <w:sz w:val="27"/>
          <w:szCs w:val="27"/>
          <w:highlight w:val="none"/>
        </w:rPr>
      </w:pPr>
      <w:bookmarkStart w:id="113" w:name="_Toc256000018"/>
      <w:bookmarkStart w:id="114" w:name="_Toc49869980"/>
    </w:p>
    <w:p>
      <w:pPr>
        <w:rPr>
          <w:rFonts w:hint="eastAsia"/>
        </w:rPr>
      </w:pPr>
    </w:p>
    <w:p>
      <w:pPr>
        <w:pStyle w:val="3"/>
        <w:spacing w:line="400" w:lineRule="exact"/>
        <w:rPr>
          <w:rFonts w:hint="eastAsia"/>
          <w:color w:val="000000"/>
          <w:sz w:val="27"/>
          <w:szCs w:val="27"/>
          <w:highlight w:val="none"/>
        </w:rPr>
      </w:pPr>
    </w:p>
    <w:p>
      <w:pPr>
        <w:pStyle w:val="3"/>
        <w:spacing w:line="400" w:lineRule="exact"/>
        <w:rPr>
          <w:color w:val="000000"/>
          <w:sz w:val="27"/>
          <w:szCs w:val="27"/>
          <w:highlight w:val="none"/>
        </w:rPr>
      </w:pPr>
      <w:r>
        <w:rPr>
          <w:rFonts w:hint="eastAsia"/>
          <w:color w:val="000000"/>
          <w:sz w:val="27"/>
          <w:szCs w:val="27"/>
          <w:highlight w:val="none"/>
        </w:rPr>
        <w:t>附表四：招标文件澄清通知、修改通知确认函（格式）</w:t>
      </w:r>
      <w:bookmarkEnd w:id="113"/>
      <w:bookmarkEnd w:id="114"/>
    </w:p>
    <w:p>
      <w:pPr>
        <w:spacing w:line="400" w:lineRule="exact"/>
        <w:rPr>
          <w:color w:val="000000"/>
          <w:sz w:val="20"/>
          <w:szCs w:val="20"/>
          <w:highlight w:val="none"/>
        </w:rPr>
      </w:pPr>
    </w:p>
    <w:p>
      <w:pPr>
        <w:spacing w:line="400" w:lineRule="exact"/>
        <w:ind w:firstLine="226" w:firstLineChars="98"/>
        <w:jc w:val="center"/>
        <w:rPr>
          <w:b/>
          <w:color w:val="000000"/>
          <w:sz w:val="23"/>
          <w:szCs w:val="23"/>
          <w:highlight w:val="none"/>
        </w:rPr>
      </w:pPr>
      <w:r>
        <w:rPr>
          <w:rFonts w:hint="eastAsia"/>
          <w:b/>
          <w:color w:val="000000"/>
          <w:sz w:val="23"/>
          <w:szCs w:val="23"/>
          <w:highlight w:val="none"/>
        </w:rPr>
        <w:t>招标文件澄清通知、修改通知确认函（格式）</w:t>
      </w:r>
    </w:p>
    <w:p>
      <w:pPr>
        <w:spacing w:line="400" w:lineRule="exact"/>
        <w:ind w:firstLine="3360" w:firstLineChars="1600"/>
        <w:rPr>
          <w:color w:val="000000"/>
          <w:szCs w:val="21"/>
          <w:highlight w:val="none"/>
        </w:rPr>
      </w:pPr>
      <w:r>
        <w:rPr>
          <w:rFonts w:hint="eastAsia"/>
          <w:color w:val="000000"/>
          <w:szCs w:val="21"/>
          <w:highlight w:val="none"/>
        </w:rPr>
        <w:t xml:space="preserve"> 编号：</w:t>
      </w:r>
    </w:p>
    <w:p>
      <w:pPr>
        <w:spacing w:line="400" w:lineRule="exact"/>
        <w:ind w:firstLine="525" w:firstLineChars="250"/>
        <w:rPr>
          <w:color w:val="000000"/>
          <w:szCs w:val="21"/>
          <w:highlight w:val="none"/>
          <w:u w:val="single"/>
        </w:rPr>
      </w:pPr>
      <w:r>
        <w:rPr>
          <w:rFonts w:hint="eastAsia"/>
          <w:color w:val="000000"/>
          <w:szCs w:val="21"/>
          <w:highlight w:val="none"/>
          <w:u w:val="single"/>
        </w:rPr>
        <w:t xml:space="preserve">     （</w:t>
      </w:r>
      <w:r>
        <w:rPr>
          <w:rFonts w:hint="eastAsia" w:ascii="仿宋_GB2312" w:eastAsia="仿宋_GB2312"/>
          <w:color w:val="000000"/>
          <w:szCs w:val="21"/>
          <w:highlight w:val="none"/>
          <w:u w:val="single"/>
        </w:rPr>
        <w:t>招标人名称</w:t>
      </w:r>
      <w:r>
        <w:rPr>
          <w:rFonts w:hint="eastAsia"/>
          <w:color w:val="000000"/>
          <w:szCs w:val="21"/>
          <w:highlight w:val="none"/>
          <w:u w:val="single"/>
        </w:rPr>
        <w:t xml:space="preserve">）       </w:t>
      </w:r>
    </w:p>
    <w:p>
      <w:pPr>
        <w:spacing w:line="400" w:lineRule="exact"/>
        <w:ind w:firstLine="525" w:firstLineChars="250"/>
        <w:rPr>
          <w:color w:val="000000"/>
          <w:szCs w:val="21"/>
          <w:highlight w:val="none"/>
        </w:rPr>
      </w:pPr>
      <w:r>
        <w:rPr>
          <w:rFonts w:hint="eastAsia"/>
          <w:color w:val="000000"/>
          <w:szCs w:val="21"/>
          <w:highlight w:val="none"/>
        </w:rPr>
        <w:t>你方</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日发送的</w:t>
      </w:r>
      <w:r>
        <w:rPr>
          <w:rFonts w:hint="eastAsia"/>
          <w:color w:val="000000"/>
          <w:szCs w:val="21"/>
          <w:highlight w:val="none"/>
          <w:u w:val="single"/>
        </w:rPr>
        <w:t xml:space="preserve">          </w:t>
      </w:r>
      <w:r>
        <w:rPr>
          <w:rFonts w:hint="eastAsia"/>
          <w:color w:val="000000"/>
          <w:szCs w:val="21"/>
          <w:highlight w:val="none"/>
        </w:rPr>
        <w:t>（项目名称）</w:t>
      </w:r>
      <w:r>
        <w:rPr>
          <w:rFonts w:hint="eastAsia"/>
          <w:color w:val="000000"/>
          <w:szCs w:val="21"/>
          <w:highlight w:val="none"/>
          <w:u w:val="single"/>
        </w:rPr>
        <w:t xml:space="preserve">            </w:t>
      </w:r>
      <w:r>
        <w:rPr>
          <w:rFonts w:hint="eastAsia"/>
          <w:color w:val="000000"/>
          <w:szCs w:val="21"/>
          <w:highlight w:val="none"/>
        </w:rPr>
        <w:t>（标段名称）招标文件问题</w:t>
      </w:r>
      <w:r>
        <w:rPr>
          <w:rFonts w:hint="eastAsia"/>
          <w:color w:val="000000"/>
          <w:szCs w:val="21"/>
          <w:highlight w:val="none"/>
          <w:u w:val="single"/>
        </w:rPr>
        <w:t xml:space="preserve">        </w:t>
      </w:r>
      <w:r>
        <w:rPr>
          <w:rFonts w:hint="eastAsia"/>
          <w:color w:val="000000"/>
          <w:szCs w:val="21"/>
          <w:highlight w:val="none"/>
        </w:rPr>
        <w:t>（澄清通知/修改通知），我方已于</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日收到，通知的主要内容如下：</w:t>
      </w:r>
    </w:p>
    <w:p>
      <w:pPr>
        <w:spacing w:line="400" w:lineRule="exact"/>
        <w:ind w:firstLine="525" w:firstLineChars="250"/>
        <w:rPr>
          <w:color w:val="000000"/>
          <w:szCs w:val="21"/>
          <w:highlight w:val="none"/>
        </w:rPr>
      </w:pP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文件名称及编号</w:t>
      </w:r>
      <w:r>
        <w:rPr>
          <w:rFonts w:hint="eastAsia"/>
          <w:color w:val="000000"/>
          <w:szCs w:val="21"/>
          <w:highlight w:val="none"/>
        </w:rPr>
        <w:t xml:space="preserve">）,共 </w:t>
      </w:r>
      <w:r>
        <w:rPr>
          <w:rFonts w:hint="eastAsia"/>
          <w:color w:val="000000"/>
          <w:szCs w:val="21"/>
          <w:highlight w:val="none"/>
          <w:u w:val="single"/>
        </w:rPr>
        <w:t xml:space="preserve">       </w:t>
      </w:r>
      <w:r>
        <w:rPr>
          <w:rFonts w:hint="eastAsia"/>
          <w:color w:val="000000"/>
          <w:szCs w:val="21"/>
          <w:highlight w:val="none"/>
        </w:rPr>
        <w:t xml:space="preserve"> (</w:t>
      </w:r>
      <w:r>
        <w:rPr>
          <w:rFonts w:hint="eastAsia" w:ascii="仿宋_GB2312" w:eastAsia="仿宋_GB2312"/>
          <w:color w:val="000000"/>
          <w:szCs w:val="21"/>
          <w:highlight w:val="none"/>
        </w:rPr>
        <w:t>页码总数</w:t>
      </w:r>
      <w:r>
        <w:rPr>
          <w:rFonts w:hint="eastAsia"/>
          <w:color w:val="000000"/>
          <w:szCs w:val="21"/>
          <w:highlight w:val="none"/>
        </w:rPr>
        <w:t>)</w:t>
      </w:r>
      <w:r>
        <w:rPr>
          <w:rFonts w:hint="eastAsia"/>
          <w:color w:val="000000"/>
          <w:szCs w:val="21"/>
          <w:highlight w:val="none"/>
          <w:u w:val="single"/>
        </w:rPr>
        <w:t xml:space="preserve">     </w:t>
      </w:r>
      <w:r>
        <w:rPr>
          <w:rFonts w:hint="eastAsia"/>
          <w:color w:val="000000"/>
          <w:szCs w:val="21"/>
          <w:highlight w:val="none"/>
        </w:rPr>
        <w:t>(</w:t>
      </w:r>
      <w:r>
        <w:rPr>
          <w:rFonts w:hint="eastAsia" w:ascii="仿宋_GB2312" w:eastAsia="仿宋_GB2312"/>
          <w:color w:val="000000"/>
          <w:szCs w:val="21"/>
          <w:highlight w:val="none"/>
        </w:rPr>
        <w:t>条款总数</w:t>
      </w:r>
      <w:r>
        <w:rPr>
          <w:rFonts w:hint="eastAsia"/>
          <w:color w:val="000000"/>
          <w:szCs w:val="21"/>
          <w:highlight w:val="none"/>
        </w:rPr>
        <w:t>)；</w:t>
      </w:r>
    </w:p>
    <w:p>
      <w:pPr>
        <w:spacing w:line="400" w:lineRule="exact"/>
        <w:ind w:firstLine="525" w:firstLineChars="250"/>
        <w:rPr>
          <w:color w:val="000000"/>
          <w:szCs w:val="21"/>
          <w:highlight w:val="none"/>
        </w:rPr>
      </w:pPr>
      <w:r>
        <w:rPr>
          <w:color w:val="000000"/>
          <w:szCs w:val="21"/>
          <w:highlight w:val="none"/>
        </w:rPr>
        <w:t>…</w:t>
      </w:r>
      <w:r>
        <w:rPr>
          <w:rFonts w:hint="eastAsia"/>
          <w:color w:val="000000"/>
          <w:szCs w:val="21"/>
          <w:highlight w:val="none"/>
        </w:rPr>
        <w:t>..</w:t>
      </w:r>
    </w:p>
    <w:p>
      <w:pPr>
        <w:spacing w:line="400" w:lineRule="exact"/>
        <w:ind w:firstLine="525" w:firstLineChars="250"/>
        <w:rPr>
          <w:color w:val="000000"/>
          <w:szCs w:val="21"/>
          <w:highlight w:val="none"/>
        </w:rPr>
      </w:pPr>
      <w:r>
        <w:rPr>
          <w:rFonts w:hint="eastAsia"/>
          <w:color w:val="000000"/>
          <w:szCs w:val="21"/>
          <w:highlight w:val="none"/>
        </w:rPr>
        <w:t>特此确认。</w:t>
      </w: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2415" w:firstLineChars="1150"/>
        <w:rPr>
          <w:color w:val="000000"/>
          <w:szCs w:val="21"/>
          <w:highlight w:val="none"/>
        </w:rPr>
      </w:pPr>
    </w:p>
    <w:p>
      <w:pPr>
        <w:spacing w:line="400" w:lineRule="exact"/>
        <w:ind w:firstLine="5460" w:firstLineChars="2600"/>
        <w:rPr>
          <w:color w:val="000000"/>
          <w:szCs w:val="21"/>
          <w:highlight w:val="none"/>
          <w:u w:val="single"/>
        </w:rPr>
      </w:pPr>
      <w:r>
        <w:rPr>
          <w:rFonts w:hint="eastAsia"/>
          <w:color w:val="000000"/>
          <w:szCs w:val="21"/>
          <w:highlight w:val="none"/>
        </w:rPr>
        <w:t>投标人：</w:t>
      </w:r>
      <w:r>
        <w:rPr>
          <w:rFonts w:hint="eastAsia"/>
          <w:color w:val="000000"/>
          <w:szCs w:val="21"/>
          <w:highlight w:val="none"/>
          <w:u w:val="single"/>
        </w:rPr>
        <w:t xml:space="preserve">              </w:t>
      </w:r>
      <w:r>
        <w:rPr>
          <w:rFonts w:hint="eastAsia"/>
          <w:color w:val="000000"/>
          <w:szCs w:val="21"/>
          <w:highlight w:val="none"/>
        </w:rPr>
        <w:t>（盖单位章）</w:t>
      </w:r>
    </w:p>
    <w:p>
      <w:pPr>
        <w:spacing w:line="400" w:lineRule="exact"/>
        <w:ind w:firstLine="2415" w:firstLineChars="1150"/>
        <w:rPr>
          <w:color w:val="000000"/>
          <w:szCs w:val="21"/>
          <w:highlight w:val="none"/>
        </w:rPr>
      </w:pPr>
    </w:p>
    <w:p>
      <w:pPr>
        <w:spacing w:line="400" w:lineRule="exact"/>
        <w:jc w:val="right"/>
        <w:rPr>
          <w:color w:val="000000"/>
          <w:szCs w:val="21"/>
          <w:highlight w:val="none"/>
        </w:rPr>
      </w:pPr>
      <w:r>
        <w:rPr>
          <w:rFonts w:hint="eastAsia"/>
          <w:color w:val="000000"/>
          <w:szCs w:val="21"/>
          <w:highlight w:val="none"/>
        </w:rPr>
        <w:t>年       月         日</w:t>
      </w:r>
    </w:p>
    <w:p>
      <w:pPr>
        <w:spacing w:line="400" w:lineRule="exact"/>
        <w:ind w:firstLine="2415" w:firstLineChars="1150"/>
        <w:rPr>
          <w:color w:val="000000"/>
          <w:szCs w:val="21"/>
          <w:highlight w:val="none"/>
        </w:rPr>
      </w:pPr>
    </w:p>
    <w:p>
      <w:pPr>
        <w:spacing w:line="400" w:lineRule="exact"/>
        <w:rPr>
          <w:color w:val="000000"/>
          <w:sz w:val="20"/>
          <w:szCs w:val="20"/>
          <w:highlight w:val="none"/>
        </w:rPr>
      </w:pPr>
    </w:p>
    <w:p>
      <w:pPr>
        <w:spacing w:line="400" w:lineRule="exact"/>
        <w:rPr>
          <w:rFonts w:ascii="宋体" w:hAnsi="宋体"/>
          <w:color w:val="000000"/>
          <w:sz w:val="20"/>
          <w:szCs w:val="20"/>
          <w:highlight w:val="none"/>
        </w:rPr>
      </w:pPr>
      <w:r>
        <w:rPr>
          <w:rFonts w:hint="eastAsia" w:ascii="宋体" w:hAnsi="宋体"/>
          <w:color w:val="000000"/>
          <w:sz w:val="20"/>
          <w:szCs w:val="20"/>
          <w:highlight w:val="none"/>
        </w:rPr>
        <w:t>注：收到招标文件澄清通知或修改通知后，投标人向招标人发出确认函时，适用于本格式。</w:t>
      </w:r>
    </w:p>
    <w:p>
      <w:pPr>
        <w:spacing w:line="400" w:lineRule="exact"/>
        <w:ind w:firstLine="2300" w:firstLineChars="1150"/>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u w:val="single"/>
        </w:rPr>
      </w:pPr>
    </w:p>
    <w:p>
      <w:pPr>
        <w:spacing w:line="400" w:lineRule="exact"/>
        <w:rPr>
          <w:color w:val="000000"/>
          <w:sz w:val="20"/>
          <w:szCs w:val="20"/>
          <w:u w:val="single"/>
        </w:rPr>
      </w:pPr>
    </w:p>
    <w:p>
      <w:pPr>
        <w:pStyle w:val="3"/>
        <w:spacing w:line="400" w:lineRule="exact"/>
        <w:rPr>
          <w:color w:val="000000"/>
          <w:sz w:val="27"/>
          <w:szCs w:val="27"/>
          <w:highlight w:val="none"/>
        </w:rPr>
      </w:pPr>
      <w:bookmarkStart w:id="115" w:name="_Toc49869981"/>
      <w:bookmarkStart w:id="116" w:name="_Toc256000019"/>
      <w:r>
        <w:rPr>
          <w:rFonts w:hint="eastAsia"/>
          <w:color w:val="000000"/>
          <w:sz w:val="27"/>
          <w:szCs w:val="27"/>
          <w:highlight w:val="none"/>
        </w:rPr>
        <w:t>附表五：开标记录表（格式）</w:t>
      </w:r>
      <w:bookmarkEnd w:id="115"/>
      <w:bookmarkEnd w:id="116"/>
    </w:p>
    <w:p>
      <w:pPr>
        <w:spacing w:line="400" w:lineRule="exact"/>
        <w:rPr>
          <w:color w:val="000000"/>
          <w:sz w:val="20"/>
          <w:szCs w:val="20"/>
          <w:highlight w:val="none"/>
        </w:rPr>
      </w:pPr>
      <w:r>
        <w:rPr>
          <w:color w:val="000000"/>
          <w:sz w:val="20"/>
          <w:szCs w:val="20"/>
          <w:highlight w:val="none"/>
        </w:rPr>
        <w:t xml:space="preserve">              </w:t>
      </w:r>
    </w:p>
    <w:p>
      <w:pPr>
        <w:spacing w:line="400" w:lineRule="exact"/>
        <w:jc w:val="center"/>
        <w:rPr>
          <w:rFonts w:ascii="黑体" w:eastAsia="黑体"/>
          <w:color w:val="000000"/>
          <w:szCs w:val="21"/>
          <w:highlight w:val="none"/>
        </w:rPr>
      </w:pPr>
      <w:r>
        <w:rPr>
          <w:rFonts w:hint="eastAsia" w:ascii="黑体" w:eastAsia="黑体"/>
          <w:color w:val="000000"/>
          <w:szCs w:val="21"/>
          <w:highlight w:val="none"/>
        </w:rPr>
        <w:t>开标记录表（格式）</w:t>
      </w:r>
    </w:p>
    <w:p>
      <w:pPr>
        <w:spacing w:line="400" w:lineRule="exact"/>
        <w:ind w:firstLine="4200" w:firstLineChars="2000"/>
        <w:rPr>
          <w:color w:val="000000"/>
          <w:szCs w:val="21"/>
          <w:highlight w:val="none"/>
        </w:rPr>
      </w:pPr>
      <w:r>
        <w:rPr>
          <w:rFonts w:hint="eastAsia" w:ascii="黑体" w:eastAsia="黑体"/>
          <w:color w:val="000000"/>
          <w:szCs w:val="21"/>
          <w:highlight w:val="none"/>
          <w:u w:val="single"/>
        </w:rPr>
        <w:t xml:space="preserve">       </w:t>
      </w:r>
      <w:r>
        <w:rPr>
          <w:rFonts w:hint="eastAsia" w:ascii="黑体" w:eastAsia="黑体"/>
          <w:color w:val="000000"/>
          <w:szCs w:val="21"/>
          <w:highlight w:val="none"/>
        </w:rPr>
        <w:t>（</w:t>
      </w:r>
      <w:r>
        <w:rPr>
          <w:rFonts w:hint="eastAsia" w:ascii="仿宋_GB2312" w:eastAsia="仿宋_GB2312"/>
          <w:color w:val="000000"/>
          <w:szCs w:val="21"/>
          <w:highlight w:val="none"/>
        </w:rPr>
        <w:t>项目名称）</w:t>
      </w:r>
      <w:r>
        <w:rPr>
          <w:rFonts w:hint="eastAsia" w:ascii="仿宋_GB2312" w:eastAsia="仿宋_GB2312"/>
          <w:color w:val="000000"/>
          <w:szCs w:val="21"/>
          <w:highlight w:val="none"/>
          <w:u w:val="single"/>
        </w:rPr>
        <w:t xml:space="preserve">      （</w:t>
      </w:r>
      <w:r>
        <w:rPr>
          <w:rFonts w:hint="eastAsia" w:ascii="仿宋_GB2312" w:eastAsia="仿宋_GB2312"/>
          <w:color w:val="000000"/>
          <w:szCs w:val="21"/>
          <w:highlight w:val="none"/>
        </w:rPr>
        <w:t>标段名称）</w:t>
      </w:r>
    </w:p>
    <w:p>
      <w:pPr>
        <w:spacing w:line="400" w:lineRule="exact"/>
        <w:jc w:val="right"/>
        <w:rPr>
          <w:color w:val="000000"/>
          <w:szCs w:val="21"/>
          <w:highlight w:val="none"/>
        </w:rPr>
      </w:pPr>
      <w:r>
        <w:rPr>
          <w:rFonts w:hint="eastAsia"/>
          <w:color w:val="000000"/>
          <w:szCs w:val="21"/>
          <w:highlight w:val="none"/>
        </w:rPr>
        <w:t>开标时间：    年    月    日    时    分</w:t>
      </w:r>
    </w:p>
    <w:tbl>
      <w:tblPr>
        <w:tblStyle w:val="36"/>
        <w:tblW w:w="529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7"/>
        <w:gridCol w:w="902"/>
        <w:gridCol w:w="1128"/>
        <w:gridCol w:w="957"/>
        <w:gridCol w:w="1083"/>
        <w:gridCol w:w="1081"/>
        <w:gridCol w:w="820"/>
        <w:gridCol w:w="719"/>
        <w:gridCol w:w="2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rPr>
        <w:tc>
          <w:tcPr>
            <w:tcW w:w="365" w:type="pct"/>
            <w:shd w:val="clear" w:color="000000" w:fill="auto"/>
            <w:vAlign w:val="center"/>
          </w:tcPr>
          <w:p>
            <w:pPr>
              <w:spacing w:line="400" w:lineRule="exact"/>
              <w:jc w:val="center"/>
              <w:rPr>
                <w:b/>
                <w:bCs/>
                <w:color w:val="000000"/>
                <w:szCs w:val="21"/>
                <w:highlight w:val="none"/>
              </w:rPr>
            </w:pPr>
            <w:r>
              <w:rPr>
                <w:b/>
                <w:bCs/>
                <w:color w:val="000000"/>
                <w:szCs w:val="21"/>
                <w:highlight w:val="none"/>
              </w:rPr>
              <w:t>序号</w:t>
            </w:r>
          </w:p>
        </w:tc>
        <w:tc>
          <w:tcPr>
            <w:tcW w:w="459" w:type="pct"/>
            <w:shd w:val="clear" w:color="000000" w:fill="auto"/>
            <w:vAlign w:val="center"/>
          </w:tcPr>
          <w:p>
            <w:pPr>
              <w:spacing w:line="400" w:lineRule="exact"/>
              <w:jc w:val="center"/>
              <w:rPr>
                <w:b/>
                <w:bCs/>
                <w:color w:val="000000"/>
                <w:szCs w:val="21"/>
                <w:highlight w:val="none"/>
              </w:rPr>
            </w:pPr>
            <w:r>
              <w:rPr>
                <w:b/>
                <w:bCs/>
                <w:color w:val="000000"/>
                <w:szCs w:val="21"/>
                <w:highlight w:val="none"/>
              </w:rPr>
              <w:t>投标人</w:t>
            </w:r>
          </w:p>
        </w:tc>
        <w:tc>
          <w:tcPr>
            <w:tcW w:w="573" w:type="pct"/>
            <w:shd w:val="clear" w:color="000000" w:fill="auto"/>
            <w:vAlign w:val="center"/>
          </w:tcPr>
          <w:p>
            <w:pPr>
              <w:spacing w:line="400" w:lineRule="exact"/>
              <w:jc w:val="center"/>
              <w:rPr>
                <w:b/>
                <w:bCs/>
                <w:color w:val="000000"/>
                <w:szCs w:val="21"/>
                <w:highlight w:val="none"/>
              </w:rPr>
            </w:pPr>
            <w:r>
              <w:rPr>
                <w:b/>
                <w:bCs/>
                <w:color w:val="000000"/>
                <w:szCs w:val="21"/>
                <w:highlight w:val="none"/>
              </w:rPr>
              <w:t>密封情况</w:t>
            </w:r>
          </w:p>
        </w:tc>
        <w:tc>
          <w:tcPr>
            <w:tcW w:w="487" w:type="pct"/>
            <w:shd w:val="clear" w:color="000000" w:fill="auto"/>
            <w:vAlign w:val="center"/>
          </w:tcPr>
          <w:p>
            <w:pPr>
              <w:spacing w:line="400" w:lineRule="exact"/>
              <w:jc w:val="center"/>
              <w:rPr>
                <w:b/>
                <w:bCs/>
                <w:color w:val="000000"/>
                <w:szCs w:val="21"/>
                <w:highlight w:val="none"/>
              </w:rPr>
            </w:pPr>
            <w:r>
              <w:rPr>
                <w:b/>
                <w:bCs/>
                <w:color w:val="000000"/>
                <w:szCs w:val="21"/>
                <w:highlight w:val="none"/>
              </w:rPr>
              <w:t>投标保证金</w:t>
            </w:r>
          </w:p>
        </w:tc>
        <w:tc>
          <w:tcPr>
            <w:tcW w:w="551" w:type="pct"/>
            <w:shd w:val="clear" w:color="000000" w:fill="auto"/>
            <w:vAlign w:val="center"/>
          </w:tcPr>
          <w:p>
            <w:pPr>
              <w:spacing w:line="400" w:lineRule="exact"/>
              <w:jc w:val="center"/>
              <w:rPr>
                <w:b/>
                <w:bCs/>
                <w:color w:val="000000"/>
                <w:szCs w:val="21"/>
                <w:highlight w:val="none"/>
              </w:rPr>
            </w:pPr>
            <w:r>
              <w:rPr>
                <w:b/>
                <w:bCs/>
                <w:color w:val="000000"/>
                <w:szCs w:val="21"/>
                <w:highlight w:val="none"/>
              </w:rPr>
              <w:t>投标报价（元）</w:t>
            </w:r>
          </w:p>
        </w:tc>
        <w:tc>
          <w:tcPr>
            <w:tcW w:w="550" w:type="pct"/>
            <w:shd w:val="clear" w:color="000000" w:fill="auto"/>
            <w:vAlign w:val="center"/>
          </w:tcPr>
          <w:p>
            <w:pPr>
              <w:spacing w:line="400" w:lineRule="exact"/>
              <w:jc w:val="center"/>
              <w:rPr>
                <w:b/>
                <w:bCs/>
                <w:color w:val="000000"/>
                <w:szCs w:val="21"/>
                <w:highlight w:val="none"/>
              </w:rPr>
            </w:pPr>
            <w:r>
              <w:rPr>
                <w:b/>
                <w:bCs/>
                <w:color w:val="000000"/>
                <w:szCs w:val="21"/>
                <w:highlight w:val="none"/>
              </w:rPr>
              <w:t>质量目标</w:t>
            </w:r>
          </w:p>
        </w:tc>
        <w:tc>
          <w:tcPr>
            <w:tcW w:w="417" w:type="pct"/>
            <w:shd w:val="clear" w:color="000000" w:fill="auto"/>
            <w:vAlign w:val="center"/>
          </w:tcPr>
          <w:p>
            <w:pPr>
              <w:spacing w:line="400" w:lineRule="exact"/>
              <w:jc w:val="center"/>
              <w:rPr>
                <w:b/>
                <w:bCs/>
                <w:color w:val="000000"/>
                <w:szCs w:val="21"/>
                <w:highlight w:val="none"/>
              </w:rPr>
            </w:pPr>
            <w:r>
              <w:rPr>
                <w:b/>
                <w:bCs/>
                <w:color w:val="000000"/>
                <w:szCs w:val="21"/>
                <w:highlight w:val="none"/>
              </w:rPr>
              <w:t>工期</w:t>
            </w:r>
          </w:p>
        </w:tc>
        <w:tc>
          <w:tcPr>
            <w:tcW w:w="366" w:type="pct"/>
            <w:shd w:val="clear" w:color="000000" w:fill="auto"/>
            <w:vAlign w:val="center"/>
          </w:tcPr>
          <w:p>
            <w:pPr>
              <w:spacing w:line="400" w:lineRule="exact"/>
              <w:jc w:val="center"/>
              <w:rPr>
                <w:b/>
                <w:bCs/>
                <w:color w:val="000000"/>
                <w:szCs w:val="21"/>
                <w:highlight w:val="none"/>
              </w:rPr>
            </w:pPr>
            <w:r>
              <w:rPr>
                <w:b/>
                <w:bCs/>
                <w:color w:val="000000"/>
                <w:szCs w:val="21"/>
                <w:highlight w:val="none"/>
              </w:rPr>
              <w:t>备注</w:t>
            </w:r>
          </w:p>
        </w:tc>
        <w:tc>
          <w:tcPr>
            <w:tcW w:w="1232" w:type="pct"/>
            <w:shd w:val="clear" w:color="000000" w:fill="auto"/>
            <w:vAlign w:val="center"/>
          </w:tcPr>
          <w:p>
            <w:pPr>
              <w:spacing w:line="400" w:lineRule="exact"/>
              <w:jc w:val="center"/>
              <w:rPr>
                <w:b/>
                <w:bCs/>
                <w:color w:val="000000"/>
                <w:szCs w:val="21"/>
                <w:highlight w:val="none"/>
              </w:rPr>
            </w:pPr>
            <w:r>
              <w:rPr>
                <w:rFonts w:hint="eastAsia"/>
                <w:b/>
                <w:bCs/>
                <w:color w:val="000000"/>
                <w:szCs w:val="21"/>
                <w:highlight w:val="none"/>
              </w:rPr>
              <w:t>投标人法定代表人或其委托代理人</w:t>
            </w:r>
            <w:r>
              <w:rPr>
                <w:b/>
                <w:bCs/>
                <w:color w:val="000000"/>
                <w:szCs w:val="21"/>
                <w:highlight w:val="none"/>
              </w:rPr>
              <w:t>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65" w:type="pct"/>
            <w:shd w:val="clear" w:color="auto" w:fill="auto"/>
          </w:tcPr>
          <w:p>
            <w:pPr>
              <w:spacing w:line="400" w:lineRule="exact"/>
              <w:jc w:val="center"/>
              <w:rPr>
                <w:color w:val="000000"/>
                <w:szCs w:val="21"/>
                <w:highlight w:val="none"/>
              </w:rPr>
            </w:pPr>
          </w:p>
        </w:tc>
        <w:tc>
          <w:tcPr>
            <w:tcW w:w="459" w:type="pct"/>
            <w:shd w:val="clear" w:color="auto" w:fill="auto"/>
          </w:tcPr>
          <w:p>
            <w:pPr>
              <w:spacing w:line="400" w:lineRule="exact"/>
              <w:jc w:val="center"/>
              <w:rPr>
                <w:color w:val="000000"/>
                <w:szCs w:val="21"/>
                <w:highlight w:val="none"/>
              </w:rPr>
            </w:pPr>
          </w:p>
        </w:tc>
        <w:tc>
          <w:tcPr>
            <w:tcW w:w="573" w:type="pct"/>
            <w:shd w:val="clear" w:color="auto" w:fill="auto"/>
          </w:tcPr>
          <w:p>
            <w:pPr>
              <w:spacing w:line="400" w:lineRule="exact"/>
              <w:jc w:val="center"/>
              <w:rPr>
                <w:color w:val="000000"/>
                <w:szCs w:val="21"/>
                <w:highlight w:val="none"/>
              </w:rPr>
            </w:pPr>
          </w:p>
        </w:tc>
        <w:tc>
          <w:tcPr>
            <w:tcW w:w="487" w:type="pct"/>
            <w:shd w:val="clear" w:color="auto" w:fill="auto"/>
          </w:tcPr>
          <w:p>
            <w:pPr>
              <w:spacing w:line="400" w:lineRule="exact"/>
              <w:jc w:val="center"/>
              <w:rPr>
                <w:color w:val="000000"/>
                <w:szCs w:val="21"/>
                <w:highlight w:val="none"/>
              </w:rPr>
            </w:pPr>
          </w:p>
        </w:tc>
        <w:tc>
          <w:tcPr>
            <w:tcW w:w="551" w:type="pct"/>
            <w:shd w:val="clear" w:color="auto" w:fill="auto"/>
          </w:tcPr>
          <w:p>
            <w:pPr>
              <w:spacing w:line="400" w:lineRule="exact"/>
              <w:jc w:val="center"/>
              <w:rPr>
                <w:color w:val="000000"/>
                <w:szCs w:val="21"/>
                <w:highlight w:val="none"/>
              </w:rPr>
            </w:pPr>
          </w:p>
        </w:tc>
        <w:tc>
          <w:tcPr>
            <w:tcW w:w="550" w:type="pct"/>
            <w:shd w:val="clear" w:color="auto" w:fill="auto"/>
          </w:tcPr>
          <w:p>
            <w:pPr>
              <w:spacing w:line="400" w:lineRule="exact"/>
              <w:jc w:val="center"/>
              <w:rPr>
                <w:color w:val="000000"/>
                <w:szCs w:val="21"/>
                <w:highlight w:val="none"/>
              </w:rPr>
            </w:pPr>
          </w:p>
        </w:tc>
        <w:tc>
          <w:tcPr>
            <w:tcW w:w="417" w:type="pct"/>
            <w:shd w:val="clear" w:color="auto" w:fill="auto"/>
          </w:tcPr>
          <w:p>
            <w:pPr>
              <w:spacing w:line="400" w:lineRule="exact"/>
              <w:jc w:val="center"/>
              <w:rPr>
                <w:color w:val="000000"/>
                <w:szCs w:val="21"/>
                <w:highlight w:val="none"/>
              </w:rPr>
            </w:pPr>
          </w:p>
        </w:tc>
        <w:tc>
          <w:tcPr>
            <w:tcW w:w="366" w:type="pct"/>
            <w:shd w:val="clear" w:color="auto" w:fill="auto"/>
          </w:tcPr>
          <w:p>
            <w:pPr>
              <w:spacing w:line="400" w:lineRule="exact"/>
              <w:jc w:val="center"/>
              <w:rPr>
                <w:color w:val="000000"/>
                <w:szCs w:val="21"/>
                <w:highlight w:val="none"/>
              </w:rPr>
            </w:pPr>
          </w:p>
        </w:tc>
        <w:tc>
          <w:tcPr>
            <w:tcW w:w="1232" w:type="pct"/>
            <w:shd w:val="clear" w:color="auto" w:fill="auto"/>
          </w:tcPr>
          <w:p>
            <w:pPr>
              <w:spacing w:line="400" w:lineRule="exact"/>
              <w:jc w:val="center"/>
              <w:rPr>
                <w:color w:val="00000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398" w:type="pct"/>
            <w:gridSpan w:val="3"/>
            <w:shd w:val="clear" w:color="auto" w:fill="auto"/>
          </w:tcPr>
          <w:p>
            <w:pPr>
              <w:spacing w:line="400" w:lineRule="exact"/>
              <w:jc w:val="center"/>
              <w:rPr>
                <w:color w:val="000000"/>
                <w:szCs w:val="21"/>
                <w:highlight w:val="none"/>
              </w:rPr>
            </w:pPr>
            <w:r>
              <w:rPr>
                <w:color w:val="000000"/>
                <w:szCs w:val="21"/>
                <w:highlight w:val="none"/>
              </w:rPr>
              <w:t>招标人编制的标底</w:t>
            </w:r>
          </w:p>
        </w:tc>
        <w:tc>
          <w:tcPr>
            <w:tcW w:w="3602" w:type="pct"/>
            <w:gridSpan w:val="6"/>
            <w:shd w:val="clear" w:color="auto" w:fill="auto"/>
          </w:tcPr>
          <w:p>
            <w:pPr>
              <w:spacing w:line="400" w:lineRule="exact"/>
              <w:jc w:val="center"/>
              <w:rPr>
                <w:color w:val="000000"/>
                <w:szCs w:val="21"/>
                <w:highlight w:val="none"/>
              </w:rPr>
            </w:pPr>
          </w:p>
        </w:tc>
      </w:tr>
    </w:tbl>
    <w:p>
      <w:pPr>
        <w:spacing w:line="400" w:lineRule="exact"/>
        <w:rPr>
          <w:color w:val="000000"/>
          <w:szCs w:val="21"/>
          <w:highlight w:val="none"/>
        </w:rPr>
      </w:pPr>
      <w:r>
        <w:rPr>
          <w:rFonts w:hint="eastAsia"/>
          <w:color w:val="000000"/>
          <w:szCs w:val="21"/>
          <w:highlight w:val="none"/>
        </w:rPr>
        <w:t>　　　                                开标结束时间：</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r>
        <w:rPr>
          <w:rFonts w:hint="eastAsia"/>
          <w:color w:val="000000"/>
          <w:szCs w:val="21"/>
          <w:highlight w:val="none"/>
          <w:u w:val="single"/>
        </w:rPr>
        <w:t xml:space="preserve">     </w:t>
      </w:r>
      <w:r>
        <w:rPr>
          <w:rFonts w:hint="eastAsia"/>
          <w:color w:val="000000"/>
          <w:szCs w:val="21"/>
          <w:highlight w:val="none"/>
        </w:rPr>
        <w:t>时</w:t>
      </w:r>
      <w:r>
        <w:rPr>
          <w:rFonts w:hint="eastAsia"/>
          <w:color w:val="000000"/>
          <w:szCs w:val="21"/>
          <w:highlight w:val="none"/>
          <w:u w:val="single"/>
        </w:rPr>
        <w:t xml:space="preserve">     </w:t>
      </w:r>
      <w:r>
        <w:rPr>
          <w:rFonts w:hint="eastAsia"/>
          <w:color w:val="000000"/>
          <w:szCs w:val="21"/>
          <w:highlight w:val="none"/>
        </w:rPr>
        <w:t>分</w:t>
      </w:r>
    </w:p>
    <w:p>
      <w:pPr>
        <w:spacing w:line="400" w:lineRule="exact"/>
        <w:rPr>
          <w:color w:val="000000"/>
          <w:szCs w:val="21"/>
          <w:highlight w:val="none"/>
        </w:rPr>
      </w:pPr>
      <w:r>
        <w:rPr>
          <w:rFonts w:hint="eastAsia"/>
          <w:color w:val="000000"/>
          <w:szCs w:val="21"/>
          <w:highlight w:val="none"/>
        </w:rPr>
        <w:t>主持人：</w:t>
      </w:r>
      <w:r>
        <w:rPr>
          <w:color w:val="000000"/>
          <w:szCs w:val="21"/>
          <w:highlight w:val="none"/>
          <w:u w:val="single"/>
        </w:rPr>
        <w:t xml:space="preserve">         </w:t>
      </w:r>
      <w:r>
        <w:rPr>
          <w:rFonts w:hint="eastAsia"/>
          <w:color w:val="000000"/>
          <w:szCs w:val="21"/>
          <w:highlight w:val="none"/>
        </w:rPr>
        <w:t>开标人：</w:t>
      </w:r>
      <w:r>
        <w:rPr>
          <w:rFonts w:hint="eastAsia"/>
          <w:color w:val="000000"/>
          <w:szCs w:val="21"/>
          <w:highlight w:val="none"/>
          <w:u w:val="single"/>
        </w:rPr>
        <w:t xml:space="preserve">        </w:t>
      </w:r>
      <w:r>
        <w:rPr>
          <w:rFonts w:hint="eastAsia"/>
          <w:color w:val="000000"/>
          <w:szCs w:val="21"/>
          <w:highlight w:val="none"/>
        </w:rPr>
        <w:t>唱标人：</w:t>
      </w:r>
      <w:r>
        <w:rPr>
          <w:rFonts w:hint="eastAsia"/>
          <w:color w:val="000000"/>
          <w:szCs w:val="21"/>
          <w:highlight w:val="none"/>
          <w:u w:val="single"/>
        </w:rPr>
        <w:t xml:space="preserve">         </w:t>
      </w:r>
      <w:r>
        <w:rPr>
          <w:color w:val="000000"/>
          <w:szCs w:val="21"/>
          <w:highlight w:val="none"/>
        </w:rPr>
        <w:t>记录人：</w:t>
      </w:r>
      <w:r>
        <w:rPr>
          <w:color w:val="000000"/>
          <w:szCs w:val="21"/>
          <w:highlight w:val="none"/>
          <w:u w:val="single"/>
        </w:rPr>
        <w:t xml:space="preserve">         </w:t>
      </w:r>
      <w:r>
        <w:rPr>
          <w:color w:val="000000"/>
          <w:szCs w:val="21"/>
          <w:highlight w:val="none"/>
        </w:rPr>
        <w:t xml:space="preserve"> 监标人：</w:t>
      </w:r>
      <w:r>
        <w:rPr>
          <w:color w:val="000000"/>
          <w:szCs w:val="21"/>
          <w:highlight w:val="none"/>
          <w:u w:val="single"/>
        </w:rPr>
        <w:t xml:space="preserve">                   </w:t>
      </w:r>
      <w:r>
        <w:rPr>
          <w:color w:val="000000"/>
          <w:szCs w:val="21"/>
          <w:highlight w:val="none"/>
        </w:rPr>
        <w:t xml:space="preserve"> </w:t>
      </w:r>
    </w:p>
    <w:p>
      <w:pPr>
        <w:spacing w:line="40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 xml:space="preserve">  </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color w:val="000000"/>
          <w:szCs w:val="21"/>
          <w:highlight w:val="none"/>
        </w:rPr>
        <w:t xml:space="preserve"> 月</w:t>
      </w:r>
      <w:r>
        <w:rPr>
          <w:color w:val="000000"/>
          <w:szCs w:val="21"/>
          <w:highlight w:val="none"/>
          <w:u w:val="single"/>
        </w:rPr>
        <w:t xml:space="preserve">         </w:t>
      </w:r>
      <w:r>
        <w:rPr>
          <w:color w:val="000000"/>
          <w:szCs w:val="21"/>
          <w:highlight w:val="none"/>
        </w:rPr>
        <w:t>日</w:t>
      </w:r>
    </w:p>
    <w:p>
      <w:pPr>
        <w:spacing w:line="400" w:lineRule="exact"/>
        <w:rPr>
          <w:color w:val="000000"/>
          <w:sz w:val="20"/>
          <w:szCs w:val="20"/>
          <w:highlight w:val="none"/>
        </w:rPr>
      </w:pPr>
      <w:r>
        <w:rPr>
          <w:rFonts w:hint="eastAsia"/>
          <w:color w:val="000000"/>
          <w:sz w:val="20"/>
          <w:szCs w:val="20"/>
          <w:highlight w:val="none"/>
        </w:rPr>
        <w:t>注：可以根据招标项目的实际需要对本开标记录表进行适当修改。</w:t>
      </w:r>
    </w:p>
    <w:p>
      <w:pPr>
        <w:bidi w:val="0"/>
        <w:rPr>
          <w:rFonts w:hint="eastAsia"/>
        </w:rPr>
      </w:pPr>
      <w:bookmarkStart w:id="117" w:name="_Toc256000020"/>
      <w:bookmarkStart w:id="118" w:name="_Toc49869982"/>
    </w:p>
    <w:p>
      <w:pPr>
        <w:pStyle w:val="3"/>
        <w:spacing w:line="400" w:lineRule="exact"/>
        <w:rPr>
          <w:rFonts w:hint="eastAsia"/>
          <w:color w:val="000000"/>
          <w:sz w:val="27"/>
          <w:szCs w:val="27"/>
          <w:highlight w:val="none"/>
        </w:rPr>
      </w:pPr>
    </w:p>
    <w:p>
      <w:pPr>
        <w:pStyle w:val="3"/>
        <w:spacing w:line="400" w:lineRule="exact"/>
        <w:rPr>
          <w:color w:val="000000"/>
          <w:sz w:val="27"/>
          <w:szCs w:val="27"/>
          <w:highlight w:val="none"/>
        </w:rPr>
      </w:pPr>
      <w:r>
        <w:rPr>
          <w:rFonts w:hint="eastAsia"/>
          <w:color w:val="000000"/>
          <w:sz w:val="27"/>
          <w:szCs w:val="27"/>
          <w:highlight w:val="none"/>
        </w:rPr>
        <w:t>附表六：中标通知书（格式）</w:t>
      </w:r>
      <w:bookmarkEnd w:id="117"/>
      <w:bookmarkEnd w:id="118"/>
    </w:p>
    <w:p>
      <w:pPr>
        <w:spacing w:line="400" w:lineRule="exact"/>
        <w:rPr>
          <w:color w:val="000000"/>
          <w:sz w:val="20"/>
          <w:szCs w:val="20"/>
          <w:highlight w:val="none"/>
        </w:rPr>
      </w:pPr>
    </w:p>
    <w:p>
      <w:pPr>
        <w:spacing w:line="400" w:lineRule="exact"/>
        <w:jc w:val="center"/>
        <w:rPr>
          <w:rFonts w:ascii="黑体" w:eastAsia="黑体"/>
          <w:b/>
          <w:color w:val="000000"/>
          <w:sz w:val="25"/>
          <w:szCs w:val="21"/>
          <w:highlight w:val="none"/>
        </w:rPr>
      </w:pPr>
      <w:r>
        <w:rPr>
          <w:rFonts w:hint="eastAsia" w:ascii="黑体" w:eastAsia="黑体"/>
          <w:b/>
          <w:color w:val="000000"/>
          <w:sz w:val="25"/>
          <w:szCs w:val="21"/>
          <w:highlight w:val="none"/>
        </w:rPr>
        <w:t>中标通知书（格式）</w:t>
      </w:r>
    </w:p>
    <w:p>
      <w:pPr>
        <w:spacing w:line="400" w:lineRule="exact"/>
        <w:jc w:val="center"/>
        <w:rPr>
          <w:color w:val="000000"/>
          <w:szCs w:val="21"/>
          <w:highlight w:val="none"/>
        </w:rPr>
      </w:pPr>
      <w:r>
        <w:rPr>
          <w:rFonts w:hint="eastAsia"/>
          <w:color w:val="000000"/>
          <w:szCs w:val="21"/>
          <w:highlight w:val="none"/>
        </w:rPr>
        <w:t>编号：</w:t>
      </w:r>
    </w:p>
    <w:p>
      <w:pPr>
        <w:spacing w:line="400" w:lineRule="exact"/>
        <w:rPr>
          <w:color w:val="000000"/>
          <w:szCs w:val="21"/>
          <w:highlight w:val="none"/>
        </w:rPr>
      </w:pPr>
      <w:r>
        <w:rPr>
          <w:color w:val="000000"/>
          <w:szCs w:val="21"/>
          <w:highlight w:val="none"/>
        </w:rPr>
        <w:t xml:space="preserve">                              </w:t>
      </w:r>
    </w:p>
    <w:p>
      <w:pPr>
        <w:spacing w:line="400" w:lineRule="exact"/>
        <w:rPr>
          <w:color w:val="000000"/>
          <w:szCs w:val="21"/>
          <w:highlight w:val="none"/>
        </w:rPr>
      </w:pPr>
      <w:r>
        <w:rPr>
          <w:color w:val="000000"/>
          <w:szCs w:val="21"/>
          <w:highlight w:val="none"/>
          <w:u w:val="single"/>
        </w:rPr>
        <w:t xml:space="preserve">                   </w:t>
      </w:r>
      <w:r>
        <w:rPr>
          <w:color w:val="000000"/>
          <w:szCs w:val="21"/>
          <w:highlight w:val="none"/>
        </w:rPr>
        <w:t>（中标人名称）：</w:t>
      </w:r>
    </w:p>
    <w:p>
      <w:pPr>
        <w:spacing w:line="400" w:lineRule="exact"/>
        <w:rPr>
          <w:color w:val="000000"/>
          <w:szCs w:val="21"/>
          <w:highlight w:val="none"/>
        </w:rPr>
      </w:pPr>
    </w:p>
    <w:p>
      <w:pPr>
        <w:spacing w:line="400" w:lineRule="exact"/>
        <w:rPr>
          <w:color w:val="000000"/>
          <w:szCs w:val="21"/>
          <w:highlight w:val="none"/>
        </w:rPr>
      </w:pPr>
      <w:r>
        <w:rPr>
          <w:color w:val="000000"/>
          <w:szCs w:val="21"/>
          <w:highlight w:val="none"/>
        </w:rPr>
        <w:t>　　你方于</w:t>
      </w:r>
      <w:r>
        <w:rPr>
          <w:color w:val="000000"/>
          <w:szCs w:val="21"/>
          <w:highlight w:val="none"/>
          <w:u w:val="single"/>
        </w:rPr>
        <w:t xml:space="preserve">         </w:t>
      </w:r>
      <w:r>
        <w:rPr>
          <w:color w:val="000000"/>
          <w:szCs w:val="21"/>
          <w:highlight w:val="none"/>
        </w:rPr>
        <w:t>（</w:t>
      </w:r>
      <w:r>
        <w:rPr>
          <w:rFonts w:hint="eastAsia" w:ascii="仿宋_GB2312" w:eastAsia="仿宋_GB2312"/>
          <w:color w:val="000000"/>
          <w:szCs w:val="21"/>
          <w:highlight w:val="none"/>
        </w:rPr>
        <w:t>投标日期</w:t>
      </w:r>
      <w:r>
        <w:rPr>
          <w:color w:val="000000"/>
          <w:szCs w:val="21"/>
          <w:highlight w:val="none"/>
        </w:rPr>
        <w:t>）所递交的</w:t>
      </w:r>
      <w:r>
        <w:rPr>
          <w:color w:val="000000"/>
          <w:szCs w:val="21"/>
          <w:highlight w:val="none"/>
          <w:u w:val="single"/>
        </w:rPr>
        <w:t xml:space="preserve">              </w:t>
      </w:r>
      <w:r>
        <w:rPr>
          <w:color w:val="000000"/>
          <w:szCs w:val="21"/>
          <w:highlight w:val="none"/>
        </w:rPr>
        <w:t>（项目名称）</w:t>
      </w:r>
      <w:r>
        <w:rPr>
          <w:color w:val="000000"/>
          <w:szCs w:val="21"/>
          <w:highlight w:val="none"/>
          <w:u w:val="single"/>
        </w:rPr>
        <w:t xml:space="preserve">      </w:t>
      </w:r>
      <w:r>
        <w:rPr>
          <w:rFonts w:hint="eastAsia"/>
          <w:color w:val="000000"/>
          <w:szCs w:val="21"/>
          <w:highlight w:val="none"/>
          <w:u w:val="single"/>
        </w:rPr>
        <w:t>（</w:t>
      </w:r>
      <w:r>
        <w:rPr>
          <w:rFonts w:hint="eastAsia" w:ascii="仿宋_GB2312" w:eastAsia="仿宋_GB2312"/>
          <w:color w:val="000000"/>
          <w:szCs w:val="21"/>
          <w:highlight w:val="none"/>
        </w:rPr>
        <w:t>标段名称</w:t>
      </w:r>
      <w:r>
        <w:rPr>
          <w:rFonts w:hint="eastAsia"/>
          <w:color w:val="000000"/>
          <w:szCs w:val="21"/>
          <w:highlight w:val="none"/>
        </w:rPr>
        <w:t>）</w:t>
      </w:r>
      <w:r>
        <w:rPr>
          <w:color w:val="000000"/>
          <w:szCs w:val="21"/>
          <w:highlight w:val="none"/>
        </w:rPr>
        <w:t>投标文件已被我方接受，</w:t>
      </w:r>
      <w:r>
        <w:rPr>
          <w:rFonts w:hint="eastAsia"/>
          <w:color w:val="000000"/>
          <w:szCs w:val="21"/>
          <w:highlight w:val="none"/>
        </w:rPr>
        <w:t>并</w:t>
      </w:r>
      <w:r>
        <w:rPr>
          <w:color w:val="000000"/>
          <w:szCs w:val="21"/>
          <w:highlight w:val="none"/>
        </w:rPr>
        <w:t>被确定为中标人。</w:t>
      </w:r>
    </w:p>
    <w:p>
      <w:pPr>
        <w:spacing w:line="400" w:lineRule="exact"/>
        <w:rPr>
          <w:color w:val="000000"/>
          <w:szCs w:val="21"/>
          <w:highlight w:val="none"/>
        </w:rPr>
      </w:pPr>
      <w:r>
        <w:rPr>
          <w:color w:val="000000"/>
          <w:szCs w:val="21"/>
          <w:highlight w:val="none"/>
        </w:rPr>
        <w:t>　　中标价：</w:t>
      </w:r>
      <w:r>
        <w:rPr>
          <w:color w:val="000000"/>
          <w:szCs w:val="21"/>
          <w:highlight w:val="none"/>
          <w:u w:val="single"/>
        </w:rPr>
        <w:t xml:space="preserve">                </w:t>
      </w:r>
      <w:r>
        <w:rPr>
          <w:color w:val="000000"/>
          <w:szCs w:val="21"/>
          <w:highlight w:val="none"/>
        </w:rPr>
        <w:t>元。</w:t>
      </w:r>
    </w:p>
    <w:p>
      <w:pPr>
        <w:spacing w:line="400" w:lineRule="exact"/>
        <w:rPr>
          <w:color w:val="000000"/>
          <w:szCs w:val="21"/>
          <w:highlight w:val="none"/>
        </w:rPr>
      </w:pPr>
      <w:r>
        <w:rPr>
          <w:color w:val="000000"/>
          <w:szCs w:val="21"/>
          <w:highlight w:val="none"/>
        </w:rPr>
        <w:t>　　工期：</w:t>
      </w:r>
      <w:r>
        <w:rPr>
          <w:color w:val="000000"/>
          <w:szCs w:val="21"/>
          <w:highlight w:val="none"/>
          <w:u w:val="single"/>
        </w:rPr>
        <w:t xml:space="preserve">      </w:t>
      </w:r>
      <w:r>
        <w:rPr>
          <w:color w:val="000000"/>
          <w:szCs w:val="21"/>
          <w:highlight w:val="none"/>
        </w:rPr>
        <w:t>日历天。</w:t>
      </w:r>
    </w:p>
    <w:p>
      <w:pPr>
        <w:spacing w:line="400" w:lineRule="exact"/>
        <w:rPr>
          <w:color w:val="000000"/>
          <w:szCs w:val="21"/>
          <w:highlight w:val="none"/>
        </w:rPr>
      </w:pPr>
      <w:r>
        <w:rPr>
          <w:color w:val="000000"/>
          <w:szCs w:val="21"/>
          <w:highlight w:val="none"/>
        </w:rPr>
        <w:t>　  工程质量：符合</w:t>
      </w:r>
      <w:r>
        <w:rPr>
          <w:color w:val="000000"/>
          <w:szCs w:val="21"/>
          <w:highlight w:val="none"/>
          <w:u w:val="single"/>
        </w:rPr>
        <w:t xml:space="preserve">                      </w:t>
      </w:r>
      <w:r>
        <w:rPr>
          <w:color w:val="000000"/>
          <w:szCs w:val="21"/>
          <w:highlight w:val="none"/>
        </w:rPr>
        <w:t>标准。</w:t>
      </w:r>
    </w:p>
    <w:p>
      <w:pPr>
        <w:spacing w:line="400" w:lineRule="exact"/>
        <w:rPr>
          <w:color w:val="000000"/>
          <w:szCs w:val="21"/>
          <w:highlight w:val="none"/>
        </w:rPr>
      </w:pPr>
      <w:r>
        <w:rPr>
          <w:color w:val="000000"/>
          <w:szCs w:val="21"/>
          <w:highlight w:val="none"/>
        </w:rPr>
        <w:t>　　项目经理：</w:t>
      </w:r>
      <w:r>
        <w:rPr>
          <w:color w:val="000000"/>
          <w:szCs w:val="21"/>
          <w:highlight w:val="none"/>
          <w:u w:val="single"/>
        </w:rPr>
        <w:t xml:space="preserve">              </w:t>
      </w:r>
      <w:r>
        <w:rPr>
          <w:color w:val="000000"/>
          <w:szCs w:val="21"/>
          <w:highlight w:val="none"/>
        </w:rPr>
        <w:t>（姓名）。</w:t>
      </w:r>
    </w:p>
    <w:p>
      <w:pPr>
        <w:spacing w:line="400" w:lineRule="exact"/>
        <w:rPr>
          <w:color w:val="000000"/>
          <w:szCs w:val="21"/>
          <w:highlight w:val="none"/>
        </w:rPr>
      </w:pPr>
      <w:r>
        <w:rPr>
          <w:color w:val="000000"/>
          <w:szCs w:val="21"/>
          <w:highlight w:val="none"/>
        </w:rPr>
        <w:t>　　请你方在接到本通知书后的</w:t>
      </w:r>
      <w:r>
        <w:rPr>
          <w:color w:val="000000"/>
          <w:szCs w:val="21"/>
          <w:highlight w:val="none"/>
          <w:u w:val="single"/>
        </w:rPr>
        <w:t xml:space="preserve">     </w:t>
      </w:r>
      <w:r>
        <w:rPr>
          <w:color w:val="000000"/>
          <w:szCs w:val="21"/>
          <w:highlight w:val="none"/>
        </w:rPr>
        <w:t>日内到</w:t>
      </w:r>
      <w:r>
        <w:rPr>
          <w:color w:val="000000"/>
          <w:szCs w:val="21"/>
          <w:highlight w:val="none"/>
          <w:u w:val="single"/>
        </w:rPr>
        <w:t xml:space="preserve">                </w:t>
      </w:r>
      <w:r>
        <w:rPr>
          <w:color w:val="000000"/>
          <w:szCs w:val="21"/>
          <w:highlight w:val="none"/>
        </w:rPr>
        <w:t>（</w:t>
      </w:r>
      <w:r>
        <w:rPr>
          <w:rFonts w:hint="eastAsia" w:ascii="仿宋_GB2312" w:eastAsia="仿宋_GB2312"/>
          <w:color w:val="000000"/>
          <w:szCs w:val="21"/>
          <w:highlight w:val="none"/>
        </w:rPr>
        <w:t>指定地点</w:t>
      </w:r>
      <w:r>
        <w:rPr>
          <w:color w:val="000000"/>
          <w:szCs w:val="21"/>
          <w:highlight w:val="none"/>
        </w:rPr>
        <w:t>）与我方签订施工合同</w:t>
      </w:r>
      <w:r>
        <w:rPr>
          <w:rFonts w:hint="eastAsia"/>
          <w:color w:val="000000"/>
          <w:szCs w:val="21"/>
          <w:highlight w:val="none"/>
        </w:rPr>
        <w:t>协议书</w:t>
      </w:r>
      <w:r>
        <w:rPr>
          <w:color w:val="000000"/>
          <w:szCs w:val="21"/>
          <w:highlight w:val="none"/>
        </w:rPr>
        <w:t>，在此之前按招标文件第二章“投标人须知”第7.3款规定向我方提交履约担保。</w:t>
      </w:r>
    </w:p>
    <w:p>
      <w:pPr>
        <w:spacing w:line="400" w:lineRule="exact"/>
        <w:rPr>
          <w:color w:val="000000"/>
          <w:szCs w:val="21"/>
          <w:highlight w:val="none"/>
        </w:rPr>
      </w:pPr>
      <w:r>
        <w:rPr>
          <w:color w:val="000000"/>
          <w:szCs w:val="21"/>
          <w:highlight w:val="none"/>
        </w:rPr>
        <w:t>　　特此通知。</w:t>
      </w:r>
    </w:p>
    <w:p>
      <w:pPr>
        <w:spacing w:line="400" w:lineRule="exact"/>
        <w:rPr>
          <w:color w:val="000000"/>
          <w:szCs w:val="21"/>
          <w:highlight w:val="none"/>
        </w:rPr>
      </w:pPr>
    </w:p>
    <w:p>
      <w:pPr>
        <w:spacing w:line="400" w:lineRule="exact"/>
        <w:rPr>
          <w:color w:val="000000"/>
          <w:szCs w:val="21"/>
          <w:highlight w:val="none"/>
        </w:rPr>
      </w:pPr>
    </w:p>
    <w:p>
      <w:pPr>
        <w:spacing w:line="400" w:lineRule="exact"/>
        <w:jc w:val="center"/>
        <w:rPr>
          <w:color w:val="000000"/>
          <w:szCs w:val="21"/>
          <w:highlight w:val="none"/>
        </w:rPr>
      </w:pPr>
    </w:p>
    <w:p>
      <w:pPr>
        <w:spacing w:line="400" w:lineRule="exact"/>
        <w:ind w:firstLine="5019" w:firstLineChars="2390"/>
        <w:rPr>
          <w:color w:val="000000"/>
          <w:szCs w:val="21"/>
          <w:highlight w:val="none"/>
        </w:rPr>
      </w:pPr>
      <w:r>
        <w:rPr>
          <w:color w:val="000000"/>
          <w:szCs w:val="21"/>
          <w:highlight w:val="none"/>
        </w:rPr>
        <w:t>招标人：</w:t>
      </w:r>
      <w:r>
        <w:rPr>
          <w:color w:val="000000"/>
          <w:szCs w:val="21"/>
          <w:highlight w:val="none"/>
          <w:u w:val="single"/>
        </w:rPr>
        <w:t xml:space="preserve">              </w:t>
      </w:r>
      <w:r>
        <w:rPr>
          <w:color w:val="000000"/>
          <w:szCs w:val="21"/>
          <w:highlight w:val="none"/>
        </w:rPr>
        <w:t xml:space="preserve">（盖单位章）            </w:t>
      </w:r>
    </w:p>
    <w:p>
      <w:pPr>
        <w:spacing w:line="400" w:lineRule="exact"/>
        <w:ind w:firstLine="5019" w:firstLineChars="2390"/>
        <w:rPr>
          <w:color w:val="000000"/>
          <w:szCs w:val="21"/>
          <w:highlight w:val="none"/>
        </w:rPr>
      </w:pPr>
      <w:r>
        <w:rPr>
          <w:color w:val="000000"/>
          <w:szCs w:val="21"/>
          <w:highlight w:val="none"/>
        </w:rPr>
        <w:t>法定代表人：</w:t>
      </w:r>
      <w:r>
        <w:rPr>
          <w:color w:val="000000"/>
          <w:szCs w:val="21"/>
          <w:highlight w:val="none"/>
          <w:u w:val="single"/>
        </w:rPr>
        <w:t xml:space="preserve">            </w:t>
      </w:r>
      <w:r>
        <w:rPr>
          <w:color w:val="000000"/>
          <w:szCs w:val="21"/>
          <w:highlight w:val="none"/>
        </w:rPr>
        <w:t>（签字）</w:t>
      </w:r>
    </w:p>
    <w:p>
      <w:pPr>
        <w:spacing w:line="400" w:lineRule="exact"/>
        <w:ind w:firstLine="4914" w:firstLineChars="2340"/>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 xml:space="preserve">月 </w:t>
      </w:r>
      <w:r>
        <w:rPr>
          <w:color w:val="000000"/>
          <w:szCs w:val="21"/>
          <w:highlight w:val="none"/>
          <w:u w:val="single"/>
        </w:rPr>
        <w:t xml:space="preserve">     </w:t>
      </w:r>
      <w:r>
        <w:rPr>
          <w:color w:val="000000"/>
          <w:szCs w:val="21"/>
          <w:highlight w:val="none"/>
        </w:rPr>
        <w:t xml:space="preserve"> 日</w:t>
      </w:r>
    </w:p>
    <w:p>
      <w:pPr>
        <w:spacing w:line="400" w:lineRule="exact"/>
        <w:rPr>
          <w:color w:val="000000"/>
          <w:szCs w:val="21"/>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spacing w:line="400" w:lineRule="exact"/>
        <w:rPr>
          <w:color w:val="000000"/>
          <w:sz w:val="20"/>
          <w:szCs w:val="20"/>
          <w:highlight w:val="none"/>
        </w:rPr>
      </w:pPr>
    </w:p>
    <w:p>
      <w:pPr>
        <w:pStyle w:val="3"/>
        <w:spacing w:line="400" w:lineRule="exact"/>
        <w:rPr>
          <w:color w:val="000000"/>
          <w:sz w:val="27"/>
          <w:szCs w:val="27"/>
          <w:highlight w:val="none"/>
        </w:rPr>
      </w:pPr>
      <w:bookmarkStart w:id="119" w:name="_Toc256000021"/>
      <w:bookmarkStart w:id="120" w:name="_Toc49869983"/>
      <w:r>
        <w:rPr>
          <w:rFonts w:hint="eastAsia"/>
          <w:color w:val="000000"/>
          <w:sz w:val="27"/>
          <w:szCs w:val="27"/>
          <w:highlight w:val="none"/>
        </w:rPr>
        <w:t>附表七：中标结果通知书（格式）</w:t>
      </w:r>
      <w:bookmarkEnd w:id="119"/>
      <w:bookmarkEnd w:id="120"/>
    </w:p>
    <w:p>
      <w:pPr>
        <w:spacing w:line="400" w:lineRule="exact"/>
        <w:rPr>
          <w:color w:val="000000"/>
          <w:sz w:val="20"/>
          <w:szCs w:val="20"/>
          <w:highlight w:val="none"/>
        </w:rPr>
      </w:pPr>
    </w:p>
    <w:p>
      <w:pPr>
        <w:spacing w:line="400" w:lineRule="exact"/>
        <w:jc w:val="center"/>
        <w:rPr>
          <w:rFonts w:ascii="黑体" w:eastAsia="黑体"/>
          <w:b/>
          <w:color w:val="000000"/>
          <w:sz w:val="25"/>
          <w:szCs w:val="21"/>
          <w:highlight w:val="none"/>
        </w:rPr>
      </w:pPr>
      <w:r>
        <w:rPr>
          <w:rFonts w:hint="eastAsia" w:ascii="黑体" w:eastAsia="黑体"/>
          <w:b/>
          <w:color w:val="000000"/>
          <w:sz w:val="25"/>
          <w:szCs w:val="21"/>
          <w:highlight w:val="none"/>
        </w:rPr>
        <w:t>中标结果通知书（格式）</w:t>
      </w:r>
    </w:p>
    <w:p>
      <w:pPr>
        <w:spacing w:line="400" w:lineRule="exact"/>
        <w:jc w:val="center"/>
        <w:rPr>
          <w:color w:val="000000"/>
          <w:szCs w:val="21"/>
          <w:highlight w:val="none"/>
        </w:rPr>
      </w:pPr>
      <w:r>
        <w:rPr>
          <w:rFonts w:hint="eastAsia"/>
          <w:color w:val="000000"/>
          <w:szCs w:val="21"/>
          <w:highlight w:val="none"/>
        </w:rPr>
        <w:t>编号：</w:t>
      </w:r>
    </w:p>
    <w:p>
      <w:pPr>
        <w:spacing w:line="400" w:lineRule="exact"/>
        <w:rPr>
          <w:color w:val="000000"/>
          <w:szCs w:val="21"/>
        </w:rPr>
      </w:pPr>
    </w:p>
    <w:p>
      <w:pPr>
        <w:spacing w:line="400" w:lineRule="exact"/>
        <w:rPr>
          <w:color w:val="000000"/>
          <w:szCs w:val="21"/>
        </w:rPr>
      </w:pPr>
      <w:r>
        <w:rPr>
          <w:color w:val="000000"/>
          <w:szCs w:val="21"/>
          <w:highlight w:val="white"/>
          <w:u w:val="single"/>
        </w:rPr>
        <w:t xml:space="preserve">                  </w:t>
      </w:r>
      <w:r>
        <w:rPr>
          <w:color w:val="000000"/>
          <w:szCs w:val="21"/>
          <w:highlight w:val="white"/>
        </w:rPr>
        <w:t>（未中标人名称）：</w:t>
      </w:r>
    </w:p>
    <w:p>
      <w:pPr>
        <w:spacing w:line="400" w:lineRule="exact"/>
        <w:rPr>
          <w:color w:val="000000"/>
          <w:szCs w:val="21"/>
        </w:rPr>
      </w:pPr>
      <w:r>
        <w:rPr>
          <w:color w:val="000000"/>
          <w:szCs w:val="21"/>
          <w:highlight w:val="white"/>
        </w:rPr>
        <w:t xml:space="preserve">    </w:t>
      </w:r>
    </w:p>
    <w:p>
      <w:pPr>
        <w:spacing w:line="400" w:lineRule="exact"/>
        <w:rPr>
          <w:color w:val="000000"/>
          <w:szCs w:val="21"/>
        </w:rPr>
      </w:pPr>
      <w:r>
        <w:rPr>
          <w:color w:val="000000"/>
          <w:szCs w:val="21"/>
          <w:highlight w:val="white"/>
        </w:rPr>
        <w:t>　　我方已接受</w:t>
      </w:r>
      <w:r>
        <w:rPr>
          <w:color w:val="000000"/>
          <w:szCs w:val="21"/>
          <w:highlight w:val="white"/>
          <w:u w:val="single"/>
        </w:rPr>
        <w:t xml:space="preserve">         </w:t>
      </w:r>
      <w:r>
        <w:rPr>
          <w:color w:val="000000"/>
          <w:szCs w:val="21"/>
          <w:highlight w:val="white"/>
        </w:rPr>
        <w:t xml:space="preserve"> （</w:t>
      </w:r>
      <w:r>
        <w:rPr>
          <w:rFonts w:hint="eastAsia" w:ascii="仿宋_GB2312" w:eastAsia="仿宋_GB2312"/>
          <w:color w:val="000000"/>
          <w:szCs w:val="21"/>
          <w:highlight w:val="white"/>
        </w:rPr>
        <w:t>中标人名称</w:t>
      </w:r>
      <w:r>
        <w:rPr>
          <w:color w:val="000000"/>
          <w:szCs w:val="21"/>
          <w:highlight w:val="white"/>
        </w:rPr>
        <w:t>）于</w:t>
      </w:r>
      <w:r>
        <w:rPr>
          <w:color w:val="000000"/>
          <w:szCs w:val="21"/>
          <w:highlight w:val="white"/>
          <w:u w:val="single"/>
        </w:rPr>
        <w:t xml:space="preserve">            </w:t>
      </w:r>
      <w:r>
        <w:rPr>
          <w:color w:val="000000"/>
          <w:szCs w:val="21"/>
          <w:highlight w:val="white"/>
        </w:rPr>
        <w:t>（</w:t>
      </w:r>
      <w:r>
        <w:rPr>
          <w:rFonts w:hint="eastAsia" w:ascii="仿宋_GB2312" w:eastAsia="仿宋_GB2312"/>
          <w:color w:val="000000"/>
          <w:szCs w:val="21"/>
          <w:highlight w:val="white"/>
        </w:rPr>
        <w:t>投标日期</w:t>
      </w:r>
      <w:r>
        <w:rPr>
          <w:color w:val="000000"/>
          <w:szCs w:val="21"/>
          <w:highlight w:val="white"/>
        </w:rPr>
        <w:t>）所递交的</w:t>
      </w:r>
      <w:r>
        <w:rPr>
          <w:color w:val="000000"/>
          <w:szCs w:val="21"/>
          <w:highlight w:val="white"/>
          <w:u w:val="single"/>
        </w:rPr>
        <w:t xml:space="preserve">             </w:t>
      </w:r>
      <w:r>
        <w:rPr>
          <w:rFonts w:hint="eastAsia" w:ascii="仿宋_GB2312" w:eastAsia="仿宋_GB2312"/>
          <w:color w:val="000000"/>
          <w:szCs w:val="21"/>
          <w:highlight w:val="white"/>
        </w:rPr>
        <w:t>（项目名称）</w:t>
      </w:r>
      <w:r>
        <w:rPr>
          <w:rFonts w:hint="eastAsia" w:ascii="仿宋_GB2312" w:eastAsia="仿宋_GB2312"/>
          <w:color w:val="000000"/>
          <w:szCs w:val="21"/>
          <w:highlight w:val="white"/>
          <w:u w:val="single"/>
        </w:rPr>
        <w:t xml:space="preserve">         （</w:t>
      </w:r>
      <w:r>
        <w:rPr>
          <w:rFonts w:hint="eastAsia" w:ascii="仿宋_GB2312" w:eastAsia="仿宋_GB2312"/>
          <w:color w:val="000000"/>
          <w:szCs w:val="21"/>
          <w:highlight w:val="white"/>
        </w:rPr>
        <w:t>标段名称）</w:t>
      </w:r>
      <w:r>
        <w:rPr>
          <w:color w:val="000000"/>
          <w:szCs w:val="21"/>
          <w:highlight w:val="white"/>
        </w:rPr>
        <w:t>投标文件，确定</w:t>
      </w:r>
      <w:r>
        <w:rPr>
          <w:color w:val="000000"/>
          <w:szCs w:val="21"/>
          <w:highlight w:val="white"/>
          <w:u w:val="single"/>
        </w:rPr>
        <w:t xml:space="preserve">            </w:t>
      </w:r>
      <w:r>
        <w:rPr>
          <w:color w:val="000000"/>
          <w:szCs w:val="21"/>
          <w:highlight w:val="white"/>
        </w:rPr>
        <w:t xml:space="preserve"> （</w:t>
      </w:r>
      <w:r>
        <w:rPr>
          <w:rFonts w:hint="eastAsia" w:ascii="仿宋_GB2312" w:eastAsia="仿宋_GB2312"/>
          <w:color w:val="000000"/>
          <w:szCs w:val="21"/>
          <w:highlight w:val="white"/>
        </w:rPr>
        <w:t>中标人名称</w:t>
      </w:r>
      <w:r>
        <w:rPr>
          <w:color w:val="000000"/>
          <w:szCs w:val="21"/>
          <w:highlight w:val="white"/>
        </w:rPr>
        <w:t>）为中标人。</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感谢你单位对我</w:t>
      </w:r>
      <w:r>
        <w:rPr>
          <w:rFonts w:hint="eastAsia"/>
          <w:color w:val="000000"/>
          <w:szCs w:val="21"/>
          <w:highlight w:val="white"/>
        </w:rPr>
        <w:t>方</w:t>
      </w:r>
      <w:r>
        <w:rPr>
          <w:color w:val="000000"/>
          <w:szCs w:val="21"/>
          <w:highlight w:val="white"/>
        </w:rPr>
        <w:t>工作的大力支持！</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rFonts w:hint="eastAsia"/>
          <w:color w:val="000000"/>
          <w:szCs w:val="21"/>
          <w:highlight w:val="white"/>
        </w:rPr>
        <w:t xml:space="preserve">              </w:t>
      </w:r>
      <w:r>
        <w:rPr>
          <w:color w:val="000000"/>
          <w:szCs w:val="21"/>
          <w:highlight w:val="white"/>
        </w:rPr>
        <w:t xml:space="preserve"> 招标人：</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rPr>
        <w:t>（盖单位章）</w:t>
      </w: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rFonts w:hint="eastAsia"/>
          <w:color w:val="000000"/>
          <w:szCs w:val="21"/>
          <w:highlight w:val="white"/>
        </w:rPr>
        <w:t xml:space="preserve">                </w:t>
      </w:r>
      <w:r>
        <w:rPr>
          <w:color w:val="000000"/>
          <w:szCs w:val="21"/>
          <w:highlight w:val="white"/>
        </w:rPr>
        <w:t>法定代表人：</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rPr>
        <w:t>（签字）</w:t>
      </w: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rFonts w:hint="eastAsia"/>
          <w:color w:val="000000"/>
          <w:szCs w:val="21"/>
          <w:highlight w:val="white"/>
        </w:rPr>
        <w:t xml:space="preserve">            </w:t>
      </w:r>
      <w:r>
        <w:rPr>
          <w:color w:val="000000"/>
          <w:szCs w:val="21"/>
          <w:highlight w:val="white"/>
        </w:rPr>
        <w:t xml:space="preserve"> </w:t>
      </w:r>
      <w:r>
        <w:rPr>
          <w:rFonts w:hint="eastAsia"/>
          <w:color w:val="000000"/>
          <w:szCs w:val="21"/>
          <w:highlight w:val="white"/>
        </w:rPr>
        <w:t xml:space="preserve">       </w:t>
      </w:r>
      <w:r>
        <w:rPr>
          <w:color w:val="000000"/>
          <w:szCs w:val="21"/>
          <w:highlight w:val="white"/>
        </w:rPr>
        <w:t xml:space="preserve"> </w:t>
      </w:r>
      <w:r>
        <w:rPr>
          <w:color w:val="000000"/>
          <w:szCs w:val="21"/>
          <w:highlight w:val="white"/>
          <w:u w:val="single"/>
        </w:rPr>
        <w:t xml:space="preserve">      </w:t>
      </w:r>
      <w:r>
        <w:rPr>
          <w:color w:val="000000"/>
          <w:szCs w:val="21"/>
          <w:highlight w:val="white"/>
        </w:rPr>
        <w:t xml:space="preserve"> 年</w:t>
      </w:r>
      <w:r>
        <w:rPr>
          <w:color w:val="000000"/>
          <w:szCs w:val="21"/>
          <w:highlight w:val="white"/>
          <w:u w:val="single"/>
        </w:rPr>
        <w:t xml:space="preserve">     </w:t>
      </w:r>
      <w:r>
        <w:rPr>
          <w:color w:val="000000"/>
          <w:szCs w:val="21"/>
          <w:highlight w:val="white"/>
        </w:rPr>
        <w:t>月</w:t>
      </w:r>
      <w:r>
        <w:rPr>
          <w:color w:val="000000"/>
          <w:szCs w:val="21"/>
          <w:highlight w:val="white"/>
          <w:u w:val="single"/>
        </w:rPr>
        <w:t xml:space="preserve">     </w:t>
      </w:r>
      <w:r>
        <w:rPr>
          <w:color w:val="000000"/>
          <w:szCs w:val="21"/>
          <w:highlight w:val="white"/>
        </w:rPr>
        <w:t>日</w:t>
      </w:r>
    </w:p>
    <w:p>
      <w:pPr>
        <w:rPr>
          <w:highlight w:val="cyan"/>
        </w:rPr>
      </w:pPr>
      <w:bookmarkStart w:id="121" w:name="EB0820d66290d14fa88e14df3d7024363d"/>
      <w:bookmarkEnd w:id="121"/>
    </w:p>
    <w:p>
      <w:pPr>
        <w:spacing w:line="400" w:lineRule="exact"/>
        <w:rPr>
          <w:color w:val="000000"/>
          <w:sz w:val="20"/>
          <w:szCs w:val="20"/>
          <w:highlight w:val="magenta"/>
        </w:rPr>
      </w:pPr>
      <w:r>
        <w:rPr>
          <w:color w:val="000000"/>
          <w:sz w:val="20"/>
          <w:szCs w:val="20"/>
          <w:highlight w:val="white"/>
        </w:rPr>
        <w:br w:type="page"/>
      </w:r>
      <w:bookmarkStart w:id="122" w:name="EB1ddd2bc656434834bca1c7a6c432716f"/>
      <w:bookmarkEnd w:id="122"/>
    </w:p>
    <w:p>
      <w:pPr>
        <w:pStyle w:val="2"/>
        <w:spacing w:before="120" w:after="120" w:line="400" w:lineRule="exact"/>
        <w:jc w:val="center"/>
        <w:rPr>
          <w:rFonts w:ascii="黑体" w:hAnsi="黑体" w:eastAsia="黑体"/>
          <w:bCs w:val="0"/>
          <w:color w:val="000000"/>
          <w:sz w:val="31"/>
          <w:szCs w:val="31"/>
        </w:rPr>
      </w:pPr>
      <w:bookmarkStart w:id="123" w:name="EB6606d54b7c664e31ad31d4013140d221"/>
      <w:bookmarkEnd w:id="123"/>
      <w:bookmarkStart w:id="124" w:name="_Toc256000022"/>
      <w:bookmarkStart w:id="125" w:name="_Toc49869991"/>
      <w:r>
        <w:rPr>
          <w:rFonts w:hint="eastAsia" w:ascii="黑体" w:hAnsi="黑体" w:eastAsia="黑体"/>
          <w:bCs w:val="0"/>
          <w:color w:val="000000"/>
          <w:sz w:val="31"/>
          <w:szCs w:val="31"/>
          <w:highlight w:val="white"/>
        </w:rPr>
        <w:t>第三章 评标办法（综合评估法）</w:t>
      </w:r>
      <w:bookmarkEnd w:id="124"/>
      <w:bookmarkEnd w:id="125"/>
    </w:p>
    <w:p>
      <w:pPr>
        <w:spacing w:line="400" w:lineRule="exact"/>
        <w:rPr>
          <w:color w:val="000000"/>
          <w:sz w:val="20"/>
          <w:szCs w:val="20"/>
        </w:rPr>
      </w:pPr>
      <w:r>
        <w:rPr>
          <w:rFonts w:hint="eastAsia"/>
          <w:color w:val="000000"/>
          <w:sz w:val="20"/>
          <w:szCs w:val="20"/>
          <w:highlight w:val="white"/>
        </w:rPr>
        <w:t>　</w:t>
      </w:r>
    </w:p>
    <w:p>
      <w:pPr>
        <w:pStyle w:val="48"/>
        <w:jc w:val="center"/>
        <w:rPr>
          <w:color w:val="000000"/>
          <w:sz w:val="27"/>
          <w:szCs w:val="27"/>
        </w:rPr>
      </w:pPr>
      <w:bookmarkStart w:id="126" w:name="_Toc49869992"/>
      <w:bookmarkStart w:id="127" w:name="_Toc256000023"/>
      <w:r>
        <w:rPr>
          <w:rFonts w:hint="eastAsia"/>
          <w:color w:val="000000"/>
          <w:sz w:val="27"/>
          <w:szCs w:val="27"/>
          <w:highlight w:val="white"/>
        </w:rPr>
        <w:t>评标办法前附表</w:t>
      </w:r>
      <w:bookmarkEnd w:id="126"/>
      <w:bookmarkEnd w:id="127"/>
    </w:p>
    <w:p>
      <w:pPr>
        <w:spacing w:line="400" w:lineRule="exact"/>
        <w:rPr>
          <w:color w:val="000080"/>
          <w:sz w:val="20"/>
          <w:szCs w:val="20"/>
          <w:highlight w:val="red"/>
        </w:rPr>
      </w:pPr>
      <w:bookmarkStart w:id="128" w:name="EB0be00a5a131d4a51bff9b66ac42c2ddb"/>
    </w:p>
    <w:bookmarkEnd w:id="128"/>
    <w:tbl>
      <w:tblPr>
        <w:tblStyle w:val="36"/>
        <w:tblW w:w="91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2147"/>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gridSpan w:val="2"/>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条款号</w:t>
            </w:r>
          </w:p>
        </w:tc>
        <w:tc>
          <w:tcPr>
            <w:tcW w:w="2147" w:type="dxa"/>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评审因素</w:t>
            </w:r>
          </w:p>
        </w:tc>
        <w:tc>
          <w:tcPr>
            <w:tcW w:w="4950" w:type="dxa"/>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00"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2.1.1</w:t>
            </w:r>
          </w:p>
        </w:tc>
        <w:tc>
          <w:tcPr>
            <w:tcW w:w="1124"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形式评审标准</w:t>
            </w: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投标人名称</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与营业执照、资质证书</w:t>
            </w:r>
            <w:r>
              <w:rPr>
                <w:rFonts w:hint="eastAsia" w:ascii="Times New Roman" w:hAnsi="Times New Roman" w:eastAsia="宋体"/>
                <w:color w:val="auto"/>
                <w:szCs w:val="21"/>
                <w:highlight w:val="none"/>
              </w:rPr>
              <w:t>、安全生产许可证</w:t>
            </w:r>
            <w:r>
              <w:rPr>
                <w:rFonts w:ascii="Times New Roman" w:hAnsi="Times New Roman" w:eastAsia="宋体"/>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投标函签字盖章</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有法定代表人或其委托代理人签字</w:t>
            </w:r>
            <w:r>
              <w:rPr>
                <w:rFonts w:hint="eastAsia" w:ascii="Times New Roman" w:hAnsi="Times New Roman" w:eastAsia="宋体"/>
                <w:color w:val="auto"/>
                <w:szCs w:val="21"/>
                <w:highlight w:val="none"/>
                <w:lang w:val="en-US" w:eastAsia="zh-CN"/>
              </w:rPr>
              <w:t>和</w:t>
            </w:r>
            <w:r>
              <w:rPr>
                <w:rFonts w:ascii="Times New Roman" w:hAnsi="Times New Roman" w:eastAsia="宋体"/>
                <w:color w:val="auto"/>
                <w:szCs w:val="21"/>
                <w:highlight w:val="none"/>
              </w:rPr>
              <w:t>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投标文件格式</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报价唯一</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0"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2.1.2</w:t>
            </w:r>
          </w:p>
        </w:tc>
        <w:tc>
          <w:tcPr>
            <w:tcW w:w="1124"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资格评审标准</w:t>
            </w: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营业执照</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top"/>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highlight w:val="none"/>
              </w:rPr>
              <w:t>安全生产许可证</w:t>
            </w:r>
          </w:p>
        </w:tc>
        <w:tc>
          <w:tcPr>
            <w:tcW w:w="4950" w:type="dxa"/>
            <w:noWrap/>
            <w:vAlign w:val="top"/>
          </w:tcPr>
          <w:p>
            <w:pPr>
              <w:keepNext w:val="0"/>
              <w:keepLines w:val="0"/>
              <w:pageBreakBefore w:val="0"/>
              <w:widowControl w:val="0"/>
              <w:shd w:val="clear" w:color="auto" w:fill="FFFFFF"/>
              <w:kinsoku/>
              <w:wordWrap/>
              <w:overflowPunct/>
              <w:topLinePunct w:val="0"/>
              <w:autoSpaceDE/>
              <w:autoSpaceDN/>
              <w:bidi w:val="0"/>
              <w:adjustRightInd/>
              <w:snapToGrid w:val="0"/>
              <w:spacing w:line="300" w:lineRule="auto"/>
              <w:jc w:val="left"/>
              <w:textAlignment w:val="auto"/>
              <w:rPr>
                <w:rFonts w:ascii="Times New Roman" w:hAnsi="Times New Roman" w:eastAsia="宋体"/>
                <w:color w:val="auto"/>
                <w:szCs w:val="21"/>
                <w:highlight w:val="none"/>
              </w:rPr>
            </w:pPr>
            <w:r>
              <w:rPr>
                <w:rFonts w:ascii="Times New Roman" w:hAnsi="Times New Roman" w:eastAsia="宋体"/>
                <w:color w:val="auto"/>
                <w:szCs w:val="21"/>
                <w:highlight w:val="none"/>
              </w:rPr>
              <w:t>具备有效的</w:t>
            </w:r>
            <w:r>
              <w:rPr>
                <w:rFonts w:hint="eastAsia" w:ascii="Times New Roman" w:hAnsi="Times New Roman" w:eastAsia="宋体"/>
                <w:color w:val="auto"/>
                <w:highlight w:val="none"/>
              </w:rPr>
              <w:t>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资质等级</w:t>
            </w:r>
          </w:p>
        </w:tc>
        <w:tc>
          <w:tcPr>
            <w:tcW w:w="4950" w:type="dxa"/>
            <w:noWrap/>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00" w:lineRule="auto"/>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具备水利水电工程施工总承包叁级资质（含叁级）及以上资质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信誉</w:t>
            </w:r>
          </w:p>
        </w:tc>
        <w:tc>
          <w:tcPr>
            <w:tcW w:w="4950" w:type="dxa"/>
            <w:noWrap/>
            <w:vAlign w:val="top"/>
          </w:tcPr>
          <w:p>
            <w:pPr>
              <w:keepNext w:val="0"/>
              <w:keepLines w:val="0"/>
              <w:widowControl/>
              <w:suppressLineNumbers w:val="0"/>
              <w:jc w:val="left"/>
              <w:rPr>
                <w:rFonts w:ascii="Times New Roman" w:hAnsi="Times New Roman" w:eastAsia="宋体" w:cs="Times New Roman"/>
                <w:color w:val="auto"/>
                <w:szCs w:val="21"/>
                <w:highlight w:val="none"/>
              </w:rPr>
            </w:pPr>
            <w:r>
              <w:rPr>
                <w:rFonts w:hint="eastAsia" w:ascii="宋体" w:hAnsi="宋体" w:eastAsia="宋体" w:cs="宋体"/>
                <w:color w:val="000000"/>
                <w:kern w:val="0"/>
                <w:sz w:val="21"/>
                <w:szCs w:val="21"/>
                <w:lang w:val="en-US" w:eastAsia="zh-CN" w:bidi="ar"/>
              </w:rPr>
              <w:t xml:space="preserve">1）投标人应在“水利建设市场监管平台”建立信用档案,并完整填报相关信息。对于省内企业应在“辽宁省水利建设市场监管平台”建立信用档案,对于外省企业应在“水利建设市场监管平台”建立信用档案并在“信息申报入口”栏完整填报“外省信息”。2）凡被“水利建设市场监管平台”、“信用辽宁”、“信用中国”列入失信黑名单和“辽宁省水利建设市场监管平台”公告禁止参与投标的市场主体不得参加本工程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Cs w:val="21"/>
                <w:highlight w:val="none"/>
                <w:lang w:eastAsia="zh-CN"/>
              </w:rPr>
              <w:t>授权委托书</w:t>
            </w:r>
          </w:p>
        </w:tc>
        <w:tc>
          <w:tcPr>
            <w:tcW w:w="4950" w:type="dxa"/>
            <w:noWrap/>
            <w:vAlign w:val="center"/>
          </w:tcPr>
          <w:p>
            <w:pPr>
              <w:keepNext w:val="0"/>
              <w:keepLines w:val="0"/>
              <w:widowControl/>
              <w:suppressLineNumbers w:val="0"/>
              <w:jc w:val="both"/>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项目经理</w:t>
            </w:r>
          </w:p>
        </w:tc>
        <w:tc>
          <w:tcPr>
            <w:tcW w:w="4950" w:type="dxa"/>
            <w:noWrap/>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00" w:lineRule="auto"/>
              <w:jc w:val="left"/>
              <w:textAlignment w:val="auto"/>
              <w:rPr>
                <w:rFonts w:ascii="Times New Roman" w:hAnsi="Times New Roman" w:eastAsia="宋体" w:cs="Times New Roman"/>
                <w:color w:val="auto"/>
                <w:szCs w:val="21"/>
                <w:highlight w:val="none"/>
              </w:rPr>
            </w:pPr>
            <w:r>
              <w:rPr>
                <w:rStyle w:val="40"/>
                <w:rFonts w:ascii="宋体" w:hAnsi="宋体" w:eastAsia="宋体" w:cs="宋体"/>
                <w:b w:val="0"/>
                <w:sz w:val="21"/>
                <w:szCs w:val="24"/>
              </w:rPr>
              <w:t>具备水利水电工程专业二级及以上注册建造师资格，具有水行政主管部门核发的B类安全生产考核合格证书，且为本投标单位正式员工，无在建项目.（提供有效的相关证书及无在建项目承诺函）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lang w:eastAsia="zh-CN"/>
              </w:rPr>
              <w:t>技术负责人</w:t>
            </w:r>
          </w:p>
        </w:tc>
        <w:tc>
          <w:tcPr>
            <w:tcW w:w="4950" w:type="dxa"/>
            <w:noWrap/>
            <w:vAlign w:val="center"/>
          </w:tcPr>
          <w:p>
            <w:pPr>
              <w:keepNext w:val="0"/>
              <w:keepLines w:val="0"/>
              <w:widowControl/>
              <w:suppressLineNumbers w:val="0"/>
              <w:jc w:val="both"/>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具有水利行业中级及以上职称</w:t>
            </w:r>
            <w:r>
              <w:rPr>
                <w:rFonts w:hint="eastAsia" w:ascii="宋体" w:hAnsi="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其他要求</w:t>
            </w:r>
          </w:p>
        </w:tc>
        <w:tc>
          <w:tcPr>
            <w:tcW w:w="4950" w:type="dxa"/>
            <w:noWrap/>
            <w:vAlign w:val="center"/>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a、企业主要负责人具有有效的安全生产考核合格证书（水利行业A证）。</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b、安全员须持证上岗（水利）,其中专职安全生产管理人员具备有效的安全生产考核合格证书（水利行业C证）。</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c、项目管理人员须是专职人员。</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d、投标人授权的委托代理人应具有与投标人单位签订的1年以上（含1年）的劳动合同或社会养老保险关系证明。</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e、投标人在招投标过程中所提供的资料必须保证真实有效,如提供虚假资料自行承担一切责任。</w:t>
            </w:r>
          </w:p>
          <w:p>
            <w:pPr>
              <w:keepNext w:val="0"/>
              <w:keepLines w:val="0"/>
              <w:widowControl/>
              <w:suppressLineNumbers w:val="0"/>
              <w:jc w:val="left"/>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color w:val="000000"/>
                <w:kern w:val="0"/>
                <w:sz w:val="21"/>
                <w:szCs w:val="21"/>
                <w:highlight w:val="none"/>
                <w:lang w:val="en-US" w:eastAsia="zh-CN" w:bidi="ar"/>
              </w:rPr>
              <w:t xml:space="preserve">注：投标人须附在全国水利建设市场监管服务平台登记公示的资质、业绩、信用记录和项目负责人、技术负责人及其他主要人员资格、业绩、职称等信息截图。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2.1.3</w:t>
            </w: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tc>
        <w:tc>
          <w:tcPr>
            <w:tcW w:w="1124" w:type="dxa"/>
            <w:vMerge w:val="restart"/>
            <w:noWrap/>
            <w:vAlign w:val="center"/>
          </w:tcPr>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响应性评审标准</w:t>
            </w: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投标内容</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lang w:val="en-US" w:eastAsia="zh-CN" w:bidi="ar"/>
              </w:rPr>
              <w:t xml:space="preserve">投标范围符合招标文件要求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工期</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highlight w:val="none"/>
                <w:lang w:val="en-US" w:eastAsia="zh-CN" w:bidi="ar"/>
              </w:rPr>
              <w:t>2024 年</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 日至 2024年 </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日</w:t>
            </w:r>
            <w:r>
              <w:rPr>
                <w:rFonts w:hint="eastAsia" w:ascii="宋体" w:hAnsi="宋体" w:eastAsia="宋体" w:cs="宋体"/>
                <w:color w:val="auto"/>
                <w:kern w:val="0"/>
                <w:sz w:val="21"/>
                <w:szCs w:val="21"/>
                <w:highlight w:val="none"/>
                <w:lang w:val="en-US" w:eastAsia="zh-CN" w:bidi="ar"/>
              </w:rPr>
              <w:t xml:space="preserve">（共计 </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工程质量</w:t>
            </w:r>
          </w:p>
        </w:tc>
        <w:tc>
          <w:tcPr>
            <w:tcW w:w="4950" w:type="dxa"/>
            <w:noWrap/>
            <w:vAlign w:val="center"/>
          </w:tcPr>
          <w:p>
            <w:pPr>
              <w:shd w:val="clear" w:color="auto" w:fill="FFFFFF"/>
              <w:spacing w:line="440" w:lineRule="exact"/>
              <w:jc w:val="left"/>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投标有效期</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Times New Roman" w:hAnsi="Times New Roman" w:eastAsia="宋体"/>
                <w:color w:val="auto"/>
                <w:sz w:val="21"/>
                <w:szCs w:val="21"/>
                <w:highlight w:val="none"/>
              </w:rPr>
              <w:t>90</w:t>
            </w:r>
            <w:r>
              <w:rPr>
                <w:rFonts w:ascii="Times New Roman" w:hAnsi="Times New Roman" w:eastAsia="宋体"/>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投标保证金</w:t>
            </w:r>
          </w:p>
        </w:tc>
        <w:tc>
          <w:tcPr>
            <w:tcW w:w="4950" w:type="dxa"/>
            <w:noWrap/>
            <w:vAlign w:val="center"/>
          </w:tcPr>
          <w:p>
            <w:pPr>
              <w:shd w:val="clear" w:color="auto" w:fill="FFFFFF"/>
              <w:spacing w:line="440" w:lineRule="exact"/>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 xml:space="preserve">   </w:t>
            </w:r>
            <w:r>
              <w:rPr>
                <w:rFonts w:hint="eastAsia" w:ascii="Times New Roman" w:hAnsi="Times New Roman" w:eastAsia="宋体"/>
                <w:color w:val="auto"/>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权利义务</w:t>
            </w:r>
          </w:p>
        </w:tc>
        <w:tc>
          <w:tcPr>
            <w:tcW w:w="4950" w:type="dxa"/>
            <w:noWrap/>
            <w:vAlign w:val="center"/>
          </w:tcPr>
          <w:p>
            <w:pPr>
              <w:shd w:val="clear" w:color="auto" w:fill="FFFFFF"/>
              <w:spacing w:line="440" w:lineRule="exact"/>
              <w:jc w:val="left"/>
              <w:rPr>
                <w:rFonts w:ascii="Times New Roman" w:hAnsi="Times New Roman" w:eastAsia="宋体"/>
                <w:color w:val="auto"/>
                <w:szCs w:val="21"/>
                <w:highlight w:val="none"/>
              </w:rPr>
            </w:pPr>
            <w:r>
              <w:rPr>
                <w:rFonts w:ascii="Times New Roman" w:hAnsi="Times New Roman" w:eastAsia="宋体"/>
                <w:color w:val="auto"/>
                <w:szCs w:val="21"/>
                <w:highlight w:val="none"/>
              </w:rPr>
              <w:t>符合</w:t>
            </w:r>
            <w:r>
              <w:rPr>
                <w:rFonts w:hint="eastAsia" w:ascii="Times New Roman" w:hAnsi="Times New Roman" w:eastAsia="宋体"/>
                <w:color w:val="auto"/>
                <w:szCs w:val="21"/>
                <w:highlight w:val="none"/>
                <w:lang w:eastAsia="zh-CN"/>
              </w:rPr>
              <w:t>招标文件</w:t>
            </w:r>
            <w:r>
              <w:rPr>
                <w:rFonts w:ascii="Times New Roman" w:hAnsi="Times New Roman" w:eastAsia="宋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已标价工程量清单</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highlight w:val="none"/>
                <w:lang w:val="en-US" w:eastAsia="zh-CN" w:bidi="ar"/>
              </w:rPr>
              <w:t xml:space="preserve">符合“工程量清单 ”给出的范围及数量，工程量清单及其计价格式中有要求盖章签字的地方必须由规定的单位和人员盖章、签字。所有表单均应加章具有资格的造价人员执业印章并签字。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技术标准和要求</w:t>
            </w:r>
          </w:p>
        </w:tc>
        <w:tc>
          <w:tcPr>
            <w:tcW w:w="4950" w:type="dxa"/>
            <w:noWrap/>
            <w:vAlign w:val="center"/>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lang w:val="en-US" w:eastAsia="zh-CN" w:bidi="ar"/>
              </w:rPr>
              <w:t xml:space="preserve">符合招标文件“技术标准和要求 ”规定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38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投标报价</w:t>
            </w:r>
          </w:p>
        </w:tc>
        <w:tc>
          <w:tcPr>
            <w:tcW w:w="4950" w:type="dxa"/>
            <w:noWrap/>
            <w:vAlign w:val="center"/>
          </w:tcPr>
          <w:p>
            <w:pPr>
              <w:shd w:val="clear" w:color="auto" w:fill="FFFFFF"/>
              <w:spacing w:line="380" w:lineRule="exact"/>
              <w:jc w:val="left"/>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eastAsia="zh-CN"/>
              </w:rPr>
              <w:t>没超招标控制价且唯一报价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center"/>
          </w:tcPr>
          <w:p>
            <w:pPr>
              <w:shd w:val="clear" w:color="auto" w:fill="FFFFFF"/>
              <w:spacing w:line="380" w:lineRule="exac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其他实质性要求</w:t>
            </w:r>
          </w:p>
        </w:tc>
        <w:tc>
          <w:tcPr>
            <w:tcW w:w="4950" w:type="dxa"/>
            <w:noWrap/>
            <w:vAlign w:val="center"/>
          </w:tcPr>
          <w:p>
            <w:pPr>
              <w:shd w:val="clear" w:color="auto" w:fill="FFFFFF"/>
              <w:spacing w:line="380" w:lineRule="exact"/>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1124" w:type="dxa"/>
            <w:vMerge w:val="continue"/>
            <w:noWrap/>
            <w:vAlign w:val="center"/>
          </w:tcPr>
          <w:p>
            <w:pPr>
              <w:shd w:val="clear" w:color="auto" w:fill="FFFFFF"/>
              <w:spacing w:line="440" w:lineRule="exact"/>
              <w:jc w:val="center"/>
              <w:rPr>
                <w:rFonts w:ascii="Times New Roman" w:hAnsi="Times New Roman" w:eastAsia="宋体"/>
                <w:color w:val="auto"/>
                <w:szCs w:val="21"/>
                <w:highlight w:val="none"/>
              </w:rPr>
            </w:pPr>
          </w:p>
        </w:tc>
        <w:tc>
          <w:tcPr>
            <w:tcW w:w="2147" w:type="dxa"/>
            <w:noWrap/>
            <w:vAlign w:val="top"/>
          </w:tcPr>
          <w:p>
            <w:pPr>
              <w:spacing w:line="440" w:lineRule="exact"/>
              <w:jc w:val="center"/>
              <w:rPr>
                <w:rFonts w:ascii="Times New Roman" w:hAnsi="Times New Roman" w:eastAsia="宋体"/>
                <w:color w:val="auto"/>
                <w:szCs w:val="21"/>
                <w:highlight w:val="none"/>
              </w:rPr>
            </w:pPr>
            <w:r>
              <w:rPr>
                <w:rFonts w:hint="eastAsia" w:ascii="Times New Roman" w:hAnsi="Times New Roman" w:eastAsia="宋体"/>
                <w:color w:val="auto"/>
                <w:highlight w:val="none"/>
              </w:rPr>
              <w:t>投标人告知承诺函</w:t>
            </w:r>
          </w:p>
        </w:tc>
        <w:tc>
          <w:tcPr>
            <w:tcW w:w="4950" w:type="dxa"/>
            <w:noWrap/>
            <w:vAlign w:val="top"/>
          </w:tcPr>
          <w:p>
            <w:pPr>
              <w:keepNext w:val="0"/>
              <w:keepLines w:val="0"/>
              <w:widowControl/>
              <w:suppressLineNumbers w:val="0"/>
              <w:jc w:val="left"/>
              <w:rPr>
                <w:rFonts w:ascii="Times New Roman" w:hAnsi="Times New Roman" w:eastAsia="宋体"/>
                <w:color w:val="auto"/>
                <w:szCs w:val="21"/>
                <w:highlight w:val="none"/>
              </w:rPr>
            </w:pPr>
            <w:r>
              <w:rPr>
                <w:rFonts w:hint="eastAsia" w:ascii="宋体" w:hAnsi="宋体" w:eastAsia="宋体" w:cs="宋体"/>
                <w:color w:val="000000"/>
                <w:kern w:val="0"/>
                <w:sz w:val="21"/>
                <w:szCs w:val="21"/>
                <w:lang w:val="en-US" w:eastAsia="zh-CN" w:bidi="ar"/>
              </w:rPr>
              <w:t xml:space="preserve">按文件格式要求进行填写并加盖公章及签字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24" w:type="dxa"/>
            <w:gridSpan w:val="2"/>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条款号</w:t>
            </w:r>
          </w:p>
        </w:tc>
        <w:tc>
          <w:tcPr>
            <w:tcW w:w="2147" w:type="dxa"/>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条款内容</w:t>
            </w:r>
          </w:p>
        </w:tc>
        <w:tc>
          <w:tcPr>
            <w:tcW w:w="4950" w:type="dxa"/>
            <w:noWrap/>
            <w:vAlign w:val="center"/>
          </w:tcPr>
          <w:p>
            <w:pPr>
              <w:shd w:val="clear" w:color="auto" w:fill="FFFFFF"/>
              <w:spacing w:line="440" w:lineRule="exact"/>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024" w:type="dxa"/>
            <w:gridSpan w:val="2"/>
            <w:noWrap/>
            <w:vAlign w:val="center"/>
          </w:tcPr>
          <w:p>
            <w:pPr>
              <w:jc w:val="center"/>
              <w:rPr>
                <w:rFonts w:ascii="Times New Roman" w:hAnsi="Times New Roman" w:eastAsia="宋体"/>
                <w:color w:val="auto"/>
                <w:szCs w:val="21"/>
                <w:highlight w:val="none"/>
              </w:rPr>
            </w:pPr>
            <w:r>
              <w:rPr>
                <w:rFonts w:hint="eastAsia" w:ascii="宋体" w:hAnsi="宋体" w:cs="宋体"/>
                <w:szCs w:val="21"/>
              </w:rPr>
              <w:t>2.2.1</w:t>
            </w:r>
          </w:p>
        </w:tc>
        <w:tc>
          <w:tcPr>
            <w:tcW w:w="2147" w:type="dxa"/>
            <w:noWrap/>
            <w:vAlign w:val="center"/>
          </w:tcPr>
          <w:p>
            <w:pPr>
              <w:jc w:val="center"/>
              <w:rPr>
                <w:rFonts w:hint="eastAsia" w:ascii="宋体" w:hAnsi="宋体" w:cs="宋体"/>
                <w:szCs w:val="21"/>
              </w:rPr>
            </w:pPr>
            <w:r>
              <w:rPr>
                <w:rFonts w:hint="eastAsia" w:ascii="宋体" w:hAnsi="宋体" w:cs="宋体"/>
                <w:szCs w:val="21"/>
              </w:rPr>
              <w:t>分值构成</w:t>
            </w:r>
          </w:p>
          <w:p>
            <w:pPr>
              <w:jc w:val="center"/>
              <w:rPr>
                <w:rFonts w:hint="eastAsia" w:ascii="Times New Roman" w:hAnsi="Times New Roman" w:eastAsia="宋体"/>
                <w:color w:val="auto"/>
                <w:szCs w:val="21"/>
                <w:highlight w:val="none"/>
                <w:lang w:eastAsia="zh-CN"/>
              </w:rPr>
            </w:pPr>
            <w:r>
              <w:rPr>
                <w:rFonts w:hint="eastAsia" w:ascii="宋体" w:hAnsi="宋体" w:cs="宋体"/>
                <w:szCs w:val="21"/>
              </w:rPr>
              <w:t>（总分100分）</w:t>
            </w:r>
          </w:p>
        </w:tc>
        <w:tc>
          <w:tcPr>
            <w:tcW w:w="4950" w:type="dxa"/>
            <w:noWrap/>
            <w:vAlign w:val="center"/>
          </w:tcPr>
          <w:p>
            <w:pPr>
              <w:spacing w:line="360" w:lineRule="exact"/>
              <w:ind w:firstLine="420" w:firstLineChars="200"/>
              <w:rPr>
                <w:rFonts w:hint="eastAsia" w:ascii="宋体" w:hAnsi="宋体" w:cs="宋体"/>
                <w:szCs w:val="21"/>
              </w:rPr>
            </w:pPr>
            <w:r>
              <w:rPr>
                <w:rFonts w:hint="eastAsia" w:ascii="宋体" w:hAnsi="宋体" w:cs="宋体"/>
                <w:szCs w:val="21"/>
              </w:rPr>
              <w:t>A 施工组织设计：</w:t>
            </w:r>
            <w:r>
              <w:rPr>
                <w:rFonts w:hint="eastAsia" w:ascii="宋体" w:hAnsi="宋体" w:cs="宋体"/>
                <w:szCs w:val="21"/>
                <w:lang w:val="en-US" w:eastAsia="zh-CN"/>
              </w:rPr>
              <w:t>27</w:t>
            </w:r>
            <w:r>
              <w:rPr>
                <w:rFonts w:hint="eastAsia" w:ascii="宋体" w:hAnsi="宋体" w:cs="宋体"/>
                <w:szCs w:val="21"/>
              </w:rPr>
              <w:t>分</w:t>
            </w:r>
          </w:p>
          <w:p>
            <w:pPr>
              <w:spacing w:line="360" w:lineRule="exact"/>
              <w:ind w:firstLine="420" w:firstLineChars="200"/>
              <w:rPr>
                <w:rFonts w:hint="eastAsia" w:ascii="宋体" w:hAnsi="宋体" w:cs="宋体"/>
                <w:szCs w:val="21"/>
              </w:rPr>
            </w:pPr>
            <w:r>
              <w:rPr>
                <w:rFonts w:hint="eastAsia" w:ascii="宋体" w:hAnsi="宋体" w:cs="宋体"/>
                <w:szCs w:val="21"/>
              </w:rPr>
              <w:t xml:space="preserve">B </w:t>
            </w:r>
            <w:r>
              <w:rPr>
                <w:rFonts w:hint="eastAsia" w:ascii="宋体" w:hAnsi="宋体" w:cs="宋体"/>
                <w:kern w:val="0"/>
                <w:szCs w:val="21"/>
              </w:rPr>
              <w:t>项目管理</w:t>
            </w:r>
            <w:r>
              <w:rPr>
                <w:rFonts w:hint="eastAsia" w:ascii="宋体" w:hAnsi="宋体" w:cs="宋体"/>
                <w:szCs w:val="21"/>
              </w:rPr>
              <w:t>机构：</w:t>
            </w:r>
            <w:r>
              <w:rPr>
                <w:rFonts w:hint="eastAsia" w:ascii="宋体" w:hAnsi="宋体" w:cs="宋体"/>
                <w:szCs w:val="21"/>
                <w:lang w:val="en-US" w:eastAsia="zh-CN"/>
              </w:rPr>
              <w:t>4</w:t>
            </w:r>
            <w:r>
              <w:rPr>
                <w:rFonts w:hint="eastAsia" w:ascii="宋体" w:hAnsi="宋体" w:cs="宋体"/>
                <w:szCs w:val="21"/>
              </w:rPr>
              <w:t>分</w:t>
            </w:r>
          </w:p>
          <w:p>
            <w:pPr>
              <w:spacing w:line="360" w:lineRule="exact"/>
              <w:ind w:firstLine="420" w:firstLineChars="200"/>
              <w:rPr>
                <w:rFonts w:hint="eastAsia" w:ascii="宋体" w:hAnsi="宋体" w:cs="宋体"/>
                <w:szCs w:val="21"/>
              </w:rPr>
            </w:pPr>
            <w:r>
              <w:rPr>
                <w:rFonts w:hint="eastAsia" w:ascii="宋体" w:hAnsi="宋体" w:cs="宋体"/>
                <w:szCs w:val="21"/>
              </w:rPr>
              <w:t>C 投标报价：</w:t>
            </w:r>
            <w:r>
              <w:rPr>
                <w:rFonts w:hint="eastAsia" w:ascii="宋体" w:hAnsi="宋体" w:cs="宋体"/>
                <w:szCs w:val="21"/>
                <w:lang w:val="en-US" w:eastAsia="zh-CN"/>
              </w:rPr>
              <w:t>55</w:t>
            </w:r>
            <w:r>
              <w:rPr>
                <w:rFonts w:hint="eastAsia" w:ascii="宋体" w:hAnsi="宋体" w:cs="宋体"/>
                <w:szCs w:val="21"/>
              </w:rPr>
              <w:t>分</w:t>
            </w:r>
          </w:p>
          <w:p>
            <w:pPr>
              <w:spacing w:line="360" w:lineRule="exact"/>
              <w:ind w:firstLine="420" w:firstLineChars="200"/>
              <w:rPr>
                <w:rFonts w:ascii="Times New Roman" w:hAnsi="Times New Roman" w:eastAsia="宋体"/>
                <w:color w:val="auto"/>
                <w:szCs w:val="21"/>
                <w:highlight w:val="none"/>
              </w:rPr>
            </w:pPr>
            <w:r>
              <w:rPr>
                <w:rFonts w:hint="eastAsia" w:ascii="宋体" w:hAnsi="宋体" w:cs="宋体"/>
                <w:szCs w:val="21"/>
              </w:rPr>
              <w:t>D 其他因素：</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4" w:type="dxa"/>
            <w:gridSpan w:val="2"/>
            <w:noWrap/>
            <w:vAlign w:val="center"/>
          </w:tcPr>
          <w:p>
            <w:pPr>
              <w:jc w:val="center"/>
              <w:rPr>
                <w:rFonts w:ascii="Times New Roman" w:hAnsi="Times New Roman" w:eastAsia="宋体"/>
                <w:color w:val="auto"/>
                <w:szCs w:val="21"/>
                <w:highlight w:val="none"/>
              </w:rPr>
            </w:pPr>
            <w:r>
              <w:rPr>
                <w:rFonts w:hint="eastAsia" w:ascii="宋体" w:hAnsi="宋体" w:cs="宋体"/>
                <w:szCs w:val="21"/>
              </w:rPr>
              <w:t>2.2.2</w:t>
            </w:r>
          </w:p>
        </w:tc>
        <w:tc>
          <w:tcPr>
            <w:tcW w:w="2147" w:type="dxa"/>
            <w:noWrap/>
            <w:vAlign w:val="center"/>
          </w:tcPr>
          <w:p>
            <w:pPr>
              <w:jc w:val="center"/>
              <w:rPr>
                <w:rFonts w:ascii="Times New Roman" w:hAnsi="Times New Roman" w:eastAsia="宋体" w:cs="Times New Roman"/>
                <w:color w:val="auto"/>
                <w:szCs w:val="21"/>
                <w:highlight w:val="none"/>
              </w:rPr>
            </w:pPr>
            <w:r>
              <w:rPr>
                <w:rFonts w:hint="eastAsia" w:ascii="宋体" w:hAnsi="宋体" w:cs="宋体"/>
                <w:szCs w:val="21"/>
              </w:rPr>
              <w:t>评标基准价计算</w:t>
            </w:r>
          </w:p>
        </w:tc>
        <w:tc>
          <w:tcPr>
            <w:tcW w:w="4950" w:type="dxa"/>
            <w:noWrap/>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eastAsia="宋体" w:cs="Calibri"/>
                <w:color w:val="000000"/>
                <w:kern w:val="0"/>
                <w:sz w:val="21"/>
                <w:szCs w:val="21"/>
                <w:lang w:val="en-US" w:eastAsia="zh-CN" w:bidi="ar"/>
              </w:rPr>
              <w:t>☑</w:t>
            </w:r>
            <w:r>
              <w:rPr>
                <w:rFonts w:ascii="Calibri" w:hAnsi="Calibri" w:eastAsia="宋体" w:cs="Calibri"/>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招标人不提供标底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投标人有效报价 </w:t>
            </w:r>
            <w:r>
              <w:rPr>
                <w:rFonts w:hint="default" w:ascii="Calibri" w:hAnsi="Calibri" w:eastAsia="宋体" w:cs="Calibri"/>
                <w:color w:val="000000"/>
                <w:kern w:val="0"/>
                <w:sz w:val="21"/>
                <w:szCs w:val="21"/>
                <w:lang w:val="en-US" w:eastAsia="zh-CN" w:bidi="ar"/>
              </w:rPr>
              <w:t xml:space="preserve">ai: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招标人提供标底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投标人有效报价 </w:t>
            </w:r>
            <w:r>
              <w:rPr>
                <w:rFonts w:hint="default" w:ascii="Calibri" w:hAnsi="Calibri" w:eastAsia="宋体" w:cs="Calibri"/>
                <w:color w:val="000000"/>
                <w:kern w:val="0"/>
                <w:sz w:val="21"/>
                <w:szCs w:val="21"/>
                <w:lang w:val="en-US" w:eastAsia="zh-CN" w:bidi="ar"/>
              </w:rPr>
              <w:t xml:space="preserve">ai: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招标人标底在评标基准价中所占的权重 </w:t>
            </w:r>
            <w:r>
              <w:rPr>
                <w:rFonts w:hint="default" w:ascii="Calibri" w:hAnsi="Calibri" w:eastAsia="宋体" w:cs="Calibri"/>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a1+a2+…+an</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 xml:space="preserve">/n]×A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式中： </w:t>
            </w:r>
            <w:r>
              <w:rPr>
                <w:rFonts w:hint="default" w:ascii="Calibri" w:hAnsi="Calibri" w:eastAsia="宋体" w:cs="Calibri"/>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评标基准价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ai-</w:t>
            </w:r>
            <w:r>
              <w:rPr>
                <w:rFonts w:hint="eastAsia" w:ascii="宋体" w:hAnsi="宋体" w:eastAsia="宋体" w:cs="宋体"/>
                <w:color w:val="000000"/>
                <w:kern w:val="0"/>
                <w:sz w:val="21"/>
                <w:szCs w:val="21"/>
                <w:lang w:val="en-US" w:eastAsia="zh-CN" w:bidi="ar"/>
              </w:rPr>
              <w:t>投标人有效投标报价（</w:t>
            </w:r>
            <w:r>
              <w:rPr>
                <w:rFonts w:hint="default" w:ascii="Calibri" w:hAnsi="Calibri" w:eastAsia="宋体" w:cs="Calibri"/>
                <w:color w:val="000000"/>
                <w:kern w:val="0"/>
                <w:sz w:val="21"/>
                <w:szCs w:val="21"/>
                <w:lang w:val="en-US" w:eastAsia="zh-CN" w:bidi="ar"/>
              </w:rPr>
              <w:t>i=1</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（有效报价的投标人个数</w:t>
            </w:r>
            <w:r>
              <w:rPr>
                <w:rFonts w:hint="default" w:ascii="Calibri" w:hAnsi="Calibri" w:eastAsia="宋体" w:cs="Calibri"/>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家时，去掉一个最低值和一个最高值；有效报价的投标人个数</w:t>
            </w:r>
            <w:r>
              <w:rPr>
                <w:rFonts w:hint="default" w:ascii="Calibri" w:hAnsi="Calibri" w:eastAsia="宋体" w:cs="Calibri"/>
                <w:color w:val="000000"/>
                <w:kern w:val="0"/>
                <w:sz w:val="21"/>
                <w:szCs w:val="21"/>
                <w:lang w:val="en-US" w:eastAsia="zh-CN" w:bidi="ar"/>
              </w:rPr>
              <w:t xml:space="preserve">&lt;5 </w:t>
            </w:r>
            <w:r>
              <w:rPr>
                <w:rFonts w:hint="eastAsia" w:ascii="宋体" w:hAnsi="宋体" w:eastAsia="宋体" w:cs="宋体"/>
                <w:color w:val="000000"/>
                <w:kern w:val="0"/>
                <w:sz w:val="21"/>
                <w:szCs w:val="21"/>
                <w:lang w:val="en-US" w:eastAsia="zh-CN" w:bidi="ar"/>
              </w:rPr>
              <w:t xml:space="preserve">家时，不去掉最低值和最高值）；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 xml:space="preserve">动态系数，本项目动态系数取值为 </w:t>
            </w:r>
            <w:r>
              <w:rPr>
                <w:rFonts w:hint="default" w:ascii="Calibri" w:hAnsi="Calibri" w:eastAsia="宋体" w:cs="Calibri"/>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有效报价的投标人个数（有效报价的投标人个数</w:t>
            </w:r>
            <w:r>
              <w:rPr>
                <w:rFonts w:hint="default" w:ascii="Calibri" w:hAnsi="Calibri" w:eastAsia="宋体" w:cs="Calibri"/>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家时，有效报价的投标人个数应减去最大和最小投标报价的两家，为 </w:t>
            </w:r>
            <w:r>
              <w:rPr>
                <w:rFonts w:hint="default" w:ascii="Calibri" w:hAnsi="Calibri" w:eastAsia="宋体" w:cs="Calibri"/>
                <w:color w:val="000000"/>
                <w:kern w:val="0"/>
                <w:sz w:val="21"/>
                <w:szCs w:val="21"/>
                <w:lang w:val="en-US" w:eastAsia="zh-CN" w:bidi="ar"/>
              </w:rPr>
              <w:t xml:space="preserve">n-2 </w:t>
            </w:r>
            <w:r>
              <w:rPr>
                <w:rFonts w:hint="eastAsia" w:ascii="宋体" w:hAnsi="宋体" w:eastAsia="宋体" w:cs="宋体"/>
                <w:color w:val="000000"/>
                <w:kern w:val="0"/>
                <w:sz w:val="21"/>
                <w:szCs w:val="21"/>
                <w:lang w:val="en-US" w:eastAsia="zh-CN" w:bidi="ar"/>
              </w:rPr>
              <w:t xml:space="preserve">个）。 </w:t>
            </w:r>
          </w:p>
          <w:p>
            <w:pPr>
              <w:spacing w:line="360" w:lineRule="exact"/>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000000"/>
                <w:kern w:val="0"/>
                <w:sz w:val="21"/>
                <w:szCs w:val="21"/>
                <w:lang w:val="en-US" w:eastAsia="zh-CN" w:bidi="ar"/>
              </w:rPr>
              <w:t>注： 投标人有效报价：经初步评审后有效标的投标人的投标报价（若有算数错误，应是经投标人书面确认的修正价格）。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4" w:type="dxa"/>
            <w:gridSpan w:val="2"/>
            <w:noWrap/>
            <w:vAlign w:val="center"/>
          </w:tcPr>
          <w:p>
            <w:pPr>
              <w:jc w:val="center"/>
              <w:rPr>
                <w:rFonts w:ascii="Times New Roman" w:hAnsi="Times New Roman" w:eastAsia="宋体"/>
                <w:color w:val="auto"/>
                <w:szCs w:val="21"/>
                <w:highlight w:val="none"/>
              </w:rPr>
            </w:pPr>
            <w:r>
              <w:rPr>
                <w:rFonts w:hint="eastAsia" w:ascii="宋体" w:hAnsi="宋体" w:cs="宋体"/>
                <w:szCs w:val="21"/>
              </w:rPr>
              <w:t>3.4.1</w:t>
            </w:r>
          </w:p>
        </w:tc>
        <w:tc>
          <w:tcPr>
            <w:tcW w:w="2147" w:type="dxa"/>
            <w:noWrap/>
            <w:vAlign w:val="center"/>
          </w:tcPr>
          <w:p>
            <w:pPr>
              <w:shd w:val="clear" w:color="auto" w:fill="FFFFFF"/>
              <w:spacing w:line="4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Cs w:val="21"/>
                <w:highlight w:val="none"/>
                <w:lang w:val="en-US" w:eastAsia="zh-CN"/>
              </w:rPr>
              <w:t>投标报价的偏差率计算公式</w:t>
            </w:r>
          </w:p>
        </w:tc>
        <w:tc>
          <w:tcPr>
            <w:tcW w:w="4950" w:type="dxa"/>
            <w:noWrap/>
            <w:vAlign w:val="center"/>
          </w:tcPr>
          <w:p>
            <w:pPr>
              <w:keepNext w:val="0"/>
              <w:keepLines w:val="0"/>
              <w:widowControl/>
              <w:suppressLineNumbers w:val="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Cs w:val="21"/>
                <w:highlight w:val="none"/>
              </w:rPr>
              <w:t>偏差率</w:t>
            </w:r>
            <w:r>
              <w:rPr>
                <w:rFonts w:ascii="Times New Roman" w:hAnsi="Times New Roman" w:eastAsia="宋体"/>
                <w:color w:val="auto"/>
                <w:szCs w:val="21"/>
                <w:highlight w:val="none"/>
              </w:rPr>
              <w:t>=100%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4" w:type="dxa"/>
            <w:gridSpan w:val="2"/>
            <w:noWrap/>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3.4.2</w:t>
            </w:r>
          </w:p>
        </w:tc>
        <w:tc>
          <w:tcPr>
            <w:tcW w:w="2147" w:type="dxa"/>
            <w:noWrap/>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szCs w:val="21"/>
              </w:rPr>
              <w:t>投标人最终得分的计算方法</w:t>
            </w:r>
          </w:p>
        </w:tc>
        <w:tc>
          <w:tcPr>
            <w:tcW w:w="495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szCs w:val="21"/>
              </w:rPr>
              <w:t>所有评标委员会委员的综合评分打分的</w:t>
            </w:r>
            <w:r>
              <w:rPr>
                <w:rFonts w:hint="eastAsia" w:ascii="宋体" w:hAnsi="宋体" w:cs="宋体"/>
                <w:b/>
                <w:bCs/>
                <w:szCs w:val="21"/>
              </w:rPr>
              <w:t>算术平均值</w:t>
            </w:r>
            <w:r>
              <w:rPr>
                <w:rFonts w:hint="eastAsia" w:ascii="宋体" w:hAnsi="宋体" w:cs="宋体"/>
                <w:szCs w:val="21"/>
              </w:rPr>
              <w:t>即为各投标人的最终得分（保留小数点后两位有效数字，小数点后第三位“四舍五入”）。</w:t>
            </w:r>
          </w:p>
        </w:tc>
      </w:tr>
    </w:tbl>
    <w:p>
      <w:pPr>
        <w:pStyle w:val="3"/>
        <w:spacing w:line="400" w:lineRule="exact"/>
        <w:rPr>
          <w:b w:val="0"/>
          <w:color w:val="000000"/>
          <w:sz w:val="23"/>
          <w:szCs w:val="23"/>
        </w:rPr>
      </w:pPr>
      <w:r>
        <w:rPr>
          <w:rFonts w:hint="eastAsia"/>
          <w:color w:val="000000"/>
          <w:sz w:val="27"/>
          <w:szCs w:val="27"/>
          <w:highlight w:val="white"/>
        </w:rPr>
        <w:t>附表三：评分标准</w:t>
      </w:r>
    </w:p>
    <w:p>
      <w:pPr>
        <w:spacing w:before="75" w:line="220" w:lineRule="auto"/>
        <w:ind w:left="3942"/>
        <w:rPr>
          <w:rFonts w:ascii="宋体" w:hAnsi="宋体" w:eastAsia="宋体" w:cs="宋体"/>
          <w:sz w:val="23"/>
          <w:szCs w:val="23"/>
          <w:highlight w:val="none"/>
        </w:rPr>
      </w:pPr>
      <w:r>
        <w:rPr>
          <w:rFonts w:ascii="宋体" w:hAnsi="宋体" w:eastAsia="宋体" w:cs="宋体"/>
          <w:b/>
          <w:bCs/>
          <w:spacing w:val="-4"/>
          <w:sz w:val="23"/>
          <w:szCs w:val="23"/>
          <w:highlight w:val="none"/>
        </w:rPr>
        <w:t>评分标准</w:t>
      </w:r>
    </w:p>
    <w:p>
      <w:pPr>
        <w:spacing w:before="73"/>
        <w:rPr>
          <w:highlight w:val="none"/>
        </w:rPr>
      </w:pPr>
    </w:p>
    <w:tbl>
      <w:tblPr>
        <w:tblStyle w:val="140"/>
        <w:tblW w:w="9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935"/>
        <w:gridCol w:w="990"/>
        <w:gridCol w:w="5250"/>
        <w:gridCol w:w="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51" w:type="dxa"/>
            <w:vAlign w:val="top"/>
          </w:tcPr>
          <w:p>
            <w:pPr>
              <w:pStyle w:val="139"/>
              <w:spacing w:before="151" w:line="222" w:lineRule="auto"/>
              <w:jc w:val="center"/>
              <w:rPr>
                <w:highlight w:val="none"/>
              </w:rPr>
            </w:pPr>
            <w:r>
              <w:rPr>
                <w:spacing w:val="-2"/>
                <w:highlight w:val="none"/>
              </w:rPr>
              <w:t>序号</w:t>
            </w:r>
          </w:p>
        </w:tc>
        <w:tc>
          <w:tcPr>
            <w:tcW w:w="1935" w:type="dxa"/>
            <w:vAlign w:val="top"/>
          </w:tcPr>
          <w:p>
            <w:pPr>
              <w:pStyle w:val="139"/>
              <w:spacing w:before="151" w:line="221" w:lineRule="auto"/>
              <w:ind w:left="636"/>
              <w:rPr>
                <w:highlight w:val="none"/>
              </w:rPr>
            </w:pPr>
            <w:r>
              <w:rPr>
                <w:spacing w:val="-1"/>
                <w:highlight w:val="none"/>
              </w:rPr>
              <w:t>评分因素</w:t>
            </w:r>
          </w:p>
        </w:tc>
        <w:tc>
          <w:tcPr>
            <w:tcW w:w="990" w:type="dxa"/>
            <w:vAlign w:val="top"/>
          </w:tcPr>
          <w:p>
            <w:pPr>
              <w:pStyle w:val="139"/>
              <w:spacing w:before="151" w:line="221" w:lineRule="auto"/>
              <w:jc w:val="center"/>
              <w:rPr>
                <w:highlight w:val="none"/>
              </w:rPr>
            </w:pPr>
            <w:r>
              <w:rPr>
                <w:rFonts w:hint="eastAsia"/>
                <w:spacing w:val="-3"/>
                <w:highlight w:val="none"/>
                <w:lang w:eastAsia="zh-CN"/>
              </w:rPr>
              <w:t>分</w:t>
            </w:r>
            <w:r>
              <w:rPr>
                <w:spacing w:val="-3"/>
                <w:highlight w:val="none"/>
              </w:rPr>
              <w:t>值</w:t>
            </w:r>
          </w:p>
        </w:tc>
        <w:tc>
          <w:tcPr>
            <w:tcW w:w="5250" w:type="dxa"/>
            <w:vAlign w:val="top"/>
          </w:tcPr>
          <w:p>
            <w:pPr>
              <w:pStyle w:val="139"/>
              <w:spacing w:before="152" w:line="221" w:lineRule="auto"/>
              <w:ind w:left="1270"/>
              <w:rPr>
                <w:highlight w:val="none"/>
              </w:rPr>
            </w:pPr>
            <w:r>
              <w:rPr>
                <w:spacing w:val="-1"/>
                <w:highlight w:val="none"/>
              </w:rPr>
              <w:t>评分标准</w:t>
            </w:r>
          </w:p>
        </w:tc>
        <w:tc>
          <w:tcPr>
            <w:tcW w:w="720" w:type="dxa"/>
            <w:vAlign w:val="top"/>
          </w:tcPr>
          <w:p>
            <w:pPr>
              <w:pStyle w:val="139"/>
              <w:spacing w:before="152" w:line="221" w:lineRule="auto"/>
              <w:jc w:val="center"/>
              <w:rPr>
                <w:highlight w:val="none"/>
              </w:rPr>
            </w:pPr>
            <w:r>
              <w:rPr>
                <w:spacing w:val="-2"/>
                <w:highlight w:val="none"/>
              </w:rPr>
              <w:t>赋分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51" w:type="dxa"/>
            <w:vAlign w:val="top"/>
          </w:tcPr>
          <w:p>
            <w:pPr>
              <w:pStyle w:val="139"/>
              <w:spacing w:before="229" w:line="163" w:lineRule="exact"/>
              <w:jc w:val="center"/>
              <w:rPr>
                <w:highlight w:val="none"/>
              </w:rPr>
            </w:pPr>
            <w:r>
              <w:rPr>
                <w:position w:val="-4"/>
                <w:highlight w:val="none"/>
              </w:rPr>
              <w:t>一</w:t>
            </w:r>
          </w:p>
        </w:tc>
        <w:tc>
          <w:tcPr>
            <w:tcW w:w="1935" w:type="dxa"/>
            <w:vAlign w:val="top"/>
          </w:tcPr>
          <w:p>
            <w:pPr>
              <w:pStyle w:val="139"/>
              <w:spacing w:before="150" w:line="222" w:lineRule="auto"/>
              <w:ind w:left="427"/>
              <w:rPr>
                <w:highlight w:val="none"/>
              </w:rPr>
            </w:pPr>
            <w:r>
              <w:rPr>
                <w:spacing w:val="-1"/>
                <w:highlight w:val="none"/>
              </w:rPr>
              <w:t>施工组织设计</w:t>
            </w:r>
          </w:p>
        </w:tc>
        <w:tc>
          <w:tcPr>
            <w:tcW w:w="990" w:type="dxa"/>
            <w:vAlign w:val="top"/>
          </w:tcPr>
          <w:p>
            <w:pPr>
              <w:rPr>
                <w:rFonts w:ascii="Arial"/>
                <w:sz w:val="21"/>
                <w:highlight w:val="none"/>
              </w:rPr>
            </w:pPr>
          </w:p>
        </w:tc>
        <w:tc>
          <w:tcPr>
            <w:tcW w:w="5250" w:type="dxa"/>
            <w:vAlign w:val="top"/>
          </w:tcPr>
          <w:p>
            <w:pPr>
              <w:rPr>
                <w:rFonts w:ascii="Arial"/>
                <w:sz w:val="21"/>
                <w:highlight w:val="none"/>
              </w:rPr>
            </w:pPr>
          </w:p>
        </w:tc>
        <w:tc>
          <w:tcPr>
            <w:tcW w:w="72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751" w:type="dxa"/>
            <w:vAlign w:val="center"/>
          </w:tcPr>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35" w:type="dxa"/>
            <w:vAlign w:val="center"/>
          </w:tcPr>
          <w:p>
            <w:pPr>
              <w:pStyle w:val="139"/>
              <w:spacing w:before="23" w:line="228" w:lineRule="auto"/>
              <w:jc w:val="center"/>
              <w:rPr>
                <w:rFonts w:hint="eastAsia" w:ascii="宋体" w:hAnsi="宋体" w:eastAsia="宋体" w:cs="宋体"/>
                <w:snapToGrid w:val="0"/>
                <w:color w:val="auto"/>
                <w:kern w:val="0"/>
                <w:sz w:val="21"/>
                <w:szCs w:val="21"/>
                <w:highlight w:val="none"/>
                <w:lang w:val="en-US" w:eastAsia="zh-CN" w:bidi="ar-SA"/>
              </w:rPr>
            </w:pPr>
            <w:r>
              <w:rPr>
                <w:rFonts w:hint="eastAsia"/>
                <w:color w:val="auto"/>
                <w:highlight w:val="none"/>
              </w:rPr>
              <w:t>施工技术方案</w:t>
            </w:r>
          </w:p>
        </w:tc>
        <w:tc>
          <w:tcPr>
            <w:tcW w:w="990" w:type="dxa"/>
            <w:vAlign w:val="center"/>
          </w:tcPr>
          <w:p>
            <w:pPr>
              <w:pStyle w:val="139"/>
              <w:spacing w:before="68" w:line="221" w:lineRule="auto"/>
              <w:jc w:val="center"/>
              <w:rPr>
                <w:rFonts w:hint="eastAsia" w:ascii="宋体" w:hAnsi="宋体" w:eastAsia="宋体" w:cs="宋体"/>
                <w:snapToGrid w:val="0"/>
                <w:color w:val="auto"/>
                <w:kern w:val="0"/>
                <w:sz w:val="21"/>
                <w:szCs w:val="21"/>
                <w:highlight w:val="none"/>
                <w:lang w:val="en-US" w:eastAsia="zh-CN" w:bidi="ar-SA"/>
              </w:rPr>
            </w:pPr>
            <w:r>
              <w:rPr>
                <w:rFonts w:hint="eastAsia"/>
                <w:color w:val="auto"/>
                <w:highlight w:val="none"/>
              </w:rPr>
              <w:t>4</w:t>
            </w:r>
            <w:r>
              <w:rPr>
                <w:color w:val="auto"/>
                <w:highlight w:val="none"/>
              </w:rPr>
              <w:t>分</w:t>
            </w:r>
          </w:p>
        </w:tc>
        <w:tc>
          <w:tcPr>
            <w:tcW w:w="5250" w:type="dxa"/>
            <w:vAlign w:val="center"/>
          </w:tcPr>
          <w:p>
            <w:pPr>
              <w:shd w:val="clear" w:color="auto" w:fill="FFFFFF"/>
              <w:adjustRightInd w:val="0"/>
              <w:snapToGrid w:val="0"/>
              <w:spacing w:line="300" w:lineRule="auto"/>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highlight w:val="none"/>
                <w:lang w:eastAsia="zh-CN"/>
              </w:rPr>
              <w:t>从施工组织方式、主要施工步骤、重点施工工艺、操作规程、重点质量监测点的控制等方面考察，符合本工程特点，针对性强。施工方案非常合理可行，非常有针对性，</w:t>
            </w:r>
            <w:r>
              <w:rPr>
                <w:rFonts w:hint="eastAsia"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4</w:t>
            </w:r>
            <w:r>
              <w:rPr>
                <w:rFonts w:hint="eastAsia" w:ascii="Times New Roman" w:hAnsi="Times New Roman" w:eastAsia="宋体"/>
                <w:color w:val="auto"/>
                <w:sz w:val="21"/>
                <w:szCs w:val="21"/>
                <w:highlight w:val="none"/>
              </w:rPr>
              <w:t>分）</w:t>
            </w:r>
            <w:r>
              <w:rPr>
                <w:rFonts w:hint="eastAsia"/>
                <w:color w:val="auto"/>
                <w:sz w:val="21"/>
                <w:szCs w:val="21"/>
                <w:highlight w:val="none"/>
                <w:lang w:eastAsia="zh-CN"/>
              </w:rPr>
              <w:t>；施工方案很合理可行，有针对性，（</w:t>
            </w:r>
            <w:r>
              <w:rPr>
                <w:rFonts w:hint="eastAsia"/>
                <w:color w:val="auto"/>
                <w:sz w:val="21"/>
                <w:szCs w:val="21"/>
                <w:highlight w:val="none"/>
                <w:lang w:val="en-US" w:eastAsia="zh-CN"/>
              </w:rPr>
              <w:t>3分</w:t>
            </w:r>
            <w:r>
              <w:rPr>
                <w:rFonts w:hint="eastAsia"/>
                <w:color w:val="auto"/>
                <w:sz w:val="21"/>
                <w:szCs w:val="21"/>
                <w:highlight w:val="none"/>
                <w:lang w:eastAsia="zh-CN"/>
              </w:rPr>
              <w:t>）；施工方案较合理可行，有一定针对性，（</w:t>
            </w:r>
            <w:r>
              <w:rPr>
                <w:rFonts w:hint="eastAsia"/>
                <w:color w:val="auto"/>
                <w:sz w:val="21"/>
                <w:szCs w:val="21"/>
                <w:highlight w:val="none"/>
                <w:lang w:val="en-US" w:eastAsia="zh-CN"/>
              </w:rPr>
              <w:t>2分</w:t>
            </w:r>
            <w:r>
              <w:rPr>
                <w:rFonts w:hint="eastAsia"/>
                <w:color w:val="auto"/>
                <w:sz w:val="21"/>
                <w:szCs w:val="21"/>
                <w:highlight w:val="none"/>
                <w:lang w:eastAsia="zh-CN"/>
              </w:rPr>
              <w:t>）；施工方案不合理可行，没有针对性，（</w:t>
            </w:r>
            <w:r>
              <w:rPr>
                <w:rFonts w:hint="eastAsia"/>
                <w:color w:val="auto"/>
                <w:sz w:val="21"/>
                <w:szCs w:val="21"/>
                <w:highlight w:val="none"/>
                <w:lang w:val="en-US" w:eastAsia="zh-CN"/>
              </w:rPr>
              <w:t>1分</w:t>
            </w:r>
            <w:r>
              <w:rPr>
                <w:rFonts w:hint="eastAsia"/>
                <w:color w:val="auto"/>
                <w:sz w:val="21"/>
                <w:szCs w:val="21"/>
                <w:highlight w:val="none"/>
                <w:lang w:eastAsia="zh-CN"/>
              </w:rPr>
              <w:t>），不提供不得分。</w:t>
            </w:r>
          </w:p>
        </w:tc>
        <w:tc>
          <w:tcPr>
            <w:tcW w:w="72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51" w:type="dxa"/>
            <w:vAlign w:val="center"/>
          </w:tcPr>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35" w:type="dxa"/>
            <w:vAlign w:val="center"/>
          </w:tcPr>
          <w:p>
            <w:pPr>
              <w:pStyle w:val="139"/>
              <w:spacing w:before="221" w:line="230" w:lineRule="auto"/>
              <w:ind w:right="200" w:rightChars="0"/>
              <w:jc w:val="center"/>
              <w:rPr>
                <w:rFonts w:hint="eastAsia" w:ascii="宋体" w:hAnsi="宋体" w:eastAsia="宋体" w:cs="宋体"/>
                <w:snapToGrid w:val="0"/>
                <w:color w:val="auto"/>
                <w:kern w:val="0"/>
                <w:sz w:val="21"/>
                <w:szCs w:val="21"/>
                <w:highlight w:val="none"/>
                <w:lang w:val="en-US" w:eastAsia="zh-CN" w:bidi="ar-SA"/>
              </w:rPr>
            </w:pPr>
            <w:r>
              <w:rPr>
                <w:rFonts w:hint="eastAsia"/>
                <w:color w:val="auto"/>
                <w:highlight w:val="none"/>
                <w:lang w:eastAsia="zh-CN"/>
              </w:rPr>
              <w:t>施工内容</w:t>
            </w:r>
          </w:p>
        </w:tc>
        <w:tc>
          <w:tcPr>
            <w:tcW w:w="990" w:type="dxa"/>
            <w:vAlign w:val="center"/>
          </w:tcPr>
          <w:p>
            <w:pPr>
              <w:pStyle w:val="139"/>
              <w:spacing w:before="69" w:line="221" w:lineRule="auto"/>
              <w:jc w:val="center"/>
              <w:rPr>
                <w:rFonts w:hint="eastAsia" w:ascii="宋体" w:hAnsi="宋体" w:eastAsia="宋体" w:cs="宋体"/>
                <w:snapToGrid w:val="0"/>
                <w:color w:val="auto"/>
                <w:kern w:val="0"/>
                <w:sz w:val="21"/>
                <w:szCs w:val="21"/>
                <w:highlight w:val="none"/>
                <w:lang w:val="en-US" w:eastAsia="zh-CN" w:bidi="ar-SA"/>
              </w:rPr>
            </w:pPr>
            <w:r>
              <w:rPr>
                <w:rFonts w:hint="eastAsia"/>
                <w:color w:val="auto"/>
                <w:highlight w:val="none"/>
                <w:lang w:val="en-US" w:eastAsia="zh-CN"/>
              </w:rPr>
              <w:t>4</w:t>
            </w:r>
            <w:r>
              <w:rPr>
                <w:color w:val="auto"/>
                <w:highlight w:val="none"/>
              </w:rPr>
              <w:t>分</w:t>
            </w:r>
          </w:p>
        </w:tc>
        <w:tc>
          <w:tcPr>
            <w:tcW w:w="5250" w:type="dxa"/>
            <w:vAlign w:val="center"/>
          </w:tcPr>
          <w:p>
            <w:pPr>
              <w:pStyle w:val="139"/>
              <w:spacing w:before="125" w:line="221" w:lineRule="auto"/>
              <w:ind w:left="113" w:leftChars="0"/>
              <w:jc w:val="both"/>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highlight w:val="none"/>
                <w:lang w:eastAsia="zh-CN"/>
              </w:rPr>
              <w:t>对施工各项内容分析明确，针对不同工作内容分部分项施工方法全面合理。对施工各项内容分析清晰明确，针对不同工作内容分部分项施工方法全面合理，（</w:t>
            </w:r>
            <w:r>
              <w:rPr>
                <w:rFonts w:hint="eastAsia" w:ascii="Times New Roman" w:hAnsi="Times New Roman" w:eastAsia="宋体"/>
                <w:color w:val="auto"/>
                <w:sz w:val="21"/>
                <w:szCs w:val="21"/>
                <w:highlight w:val="none"/>
                <w:lang w:val="en-US" w:eastAsia="zh-CN"/>
              </w:rPr>
              <w:t>4</w:t>
            </w:r>
            <w:r>
              <w:rPr>
                <w:rFonts w:hint="eastAsia" w:ascii="Times New Roman" w:hAnsi="Times New Roman" w:eastAsia="宋体"/>
                <w:color w:val="auto"/>
                <w:sz w:val="21"/>
                <w:szCs w:val="21"/>
                <w:highlight w:val="none"/>
              </w:rPr>
              <w:t>分）</w:t>
            </w:r>
            <w:r>
              <w:rPr>
                <w:rFonts w:hint="eastAsia"/>
                <w:color w:val="auto"/>
                <w:sz w:val="21"/>
                <w:szCs w:val="21"/>
                <w:highlight w:val="none"/>
                <w:lang w:eastAsia="zh-CN"/>
              </w:rPr>
              <w:t>；对施工各项内容分析较为明确，针对不同工作内容分部分项施工方法较为合理，（</w:t>
            </w:r>
            <w:r>
              <w:rPr>
                <w:rFonts w:hint="eastAsia"/>
                <w:color w:val="auto"/>
                <w:sz w:val="21"/>
                <w:szCs w:val="21"/>
                <w:highlight w:val="none"/>
                <w:lang w:val="en-US" w:eastAsia="zh-CN"/>
              </w:rPr>
              <w:t>3分</w:t>
            </w:r>
            <w:r>
              <w:rPr>
                <w:rFonts w:hint="eastAsia"/>
                <w:color w:val="auto"/>
                <w:sz w:val="21"/>
                <w:szCs w:val="21"/>
                <w:highlight w:val="none"/>
                <w:lang w:eastAsia="zh-CN"/>
              </w:rPr>
              <w:t>）；对施工各项内容分析明确，针对不同工作内容分部分项施工方法合理（</w:t>
            </w:r>
            <w:r>
              <w:rPr>
                <w:rFonts w:hint="eastAsia"/>
                <w:color w:val="auto"/>
                <w:sz w:val="21"/>
                <w:szCs w:val="21"/>
                <w:highlight w:val="none"/>
                <w:lang w:val="en-US" w:eastAsia="zh-CN"/>
              </w:rPr>
              <w:t>2分</w:t>
            </w:r>
            <w:r>
              <w:rPr>
                <w:rFonts w:hint="eastAsia"/>
                <w:color w:val="auto"/>
                <w:sz w:val="21"/>
                <w:szCs w:val="21"/>
                <w:highlight w:val="none"/>
                <w:lang w:eastAsia="zh-CN"/>
              </w:rPr>
              <w:t>）；对施工各项内容分析较为明确，针对不同工作内容分部分项施工方法不明确不合理较差，（</w:t>
            </w:r>
            <w:r>
              <w:rPr>
                <w:rFonts w:hint="eastAsia"/>
                <w:color w:val="auto"/>
                <w:sz w:val="21"/>
                <w:szCs w:val="21"/>
                <w:highlight w:val="none"/>
                <w:lang w:val="en-US" w:eastAsia="zh-CN"/>
              </w:rPr>
              <w:t>1分</w:t>
            </w:r>
            <w:r>
              <w:rPr>
                <w:rFonts w:hint="eastAsia"/>
                <w:color w:val="auto"/>
                <w:sz w:val="21"/>
                <w:szCs w:val="21"/>
                <w:highlight w:val="none"/>
                <w:lang w:eastAsia="zh-CN"/>
              </w:rPr>
              <w:t>），不提供不得分。</w:t>
            </w:r>
          </w:p>
        </w:tc>
        <w:tc>
          <w:tcPr>
            <w:tcW w:w="72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51" w:type="dxa"/>
            <w:vAlign w:val="center"/>
          </w:tcPr>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35" w:type="dxa"/>
            <w:vAlign w:val="center"/>
          </w:tcPr>
          <w:p>
            <w:pPr>
              <w:pStyle w:val="139"/>
              <w:spacing w:before="222" w:line="230" w:lineRule="auto"/>
              <w:ind w:right="200" w:rightChars="0"/>
              <w:jc w:val="center"/>
              <w:rPr>
                <w:rFonts w:hint="eastAsia" w:ascii="宋体" w:hAnsi="宋体" w:eastAsia="宋体" w:cs="宋体"/>
                <w:snapToGrid w:val="0"/>
                <w:color w:val="auto"/>
                <w:kern w:val="0"/>
                <w:sz w:val="21"/>
                <w:szCs w:val="21"/>
                <w:highlight w:val="none"/>
                <w:lang w:val="en-US" w:eastAsia="zh-CN" w:bidi="ar-SA"/>
              </w:rPr>
            </w:pPr>
            <w:r>
              <w:rPr>
                <w:rFonts w:hint="eastAsia"/>
                <w:color w:val="auto"/>
                <w:highlight w:val="none"/>
                <w:lang w:eastAsia="zh-CN"/>
              </w:rPr>
              <w:t>施工进度计划与保证措施</w:t>
            </w:r>
          </w:p>
        </w:tc>
        <w:tc>
          <w:tcPr>
            <w:tcW w:w="990" w:type="dxa"/>
            <w:vAlign w:val="center"/>
          </w:tcPr>
          <w:p>
            <w:pPr>
              <w:pStyle w:val="139"/>
              <w:spacing w:before="68" w:line="221" w:lineRule="auto"/>
              <w:jc w:val="center"/>
              <w:rPr>
                <w:rFonts w:hint="eastAsia" w:ascii="宋体" w:hAnsi="宋体" w:eastAsia="宋体" w:cs="宋体"/>
                <w:snapToGrid w:val="0"/>
                <w:color w:val="auto"/>
                <w:kern w:val="0"/>
                <w:sz w:val="21"/>
                <w:szCs w:val="21"/>
                <w:highlight w:val="none"/>
                <w:lang w:val="en-US" w:eastAsia="zh-CN" w:bidi="ar-SA"/>
              </w:rPr>
            </w:pPr>
            <w:r>
              <w:rPr>
                <w:rFonts w:hint="eastAsia"/>
                <w:color w:val="auto"/>
                <w:highlight w:val="none"/>
                <w:lang w:val="en-US" w:eastAsia="zh-CN"/>
              </w:rPr>
              <w:t>4</w:t>
            </w:r>
            <w:r>
              <w:rPr>
                <w:color w:val="auto"/>
                <w:highlight w:val="none"/>
              </w:rPr>
              <w:t>分</w:t>
            </w:r>
          </w:p>
        </w:tc>
        <w:tc>
          <w:tcPr>
            <w:tcW w:w="5250" w:type="dxa"/>
            <w:vAlign w:val="center"/>
          </w:tcPr>
          <w:p>
            <w:pPr>
              <w:pStyle w:val="139"/>
              <w:spacing w:before="126" w:line="221" w:lineRule="auto"/>
              <w:ind w:left="113" w:leftChars="0"/>
              <w:jc w:val="both"/>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highlight w:val="none"/>
                <w:lang w:eastAsia="zh-CN"/>
              </w:rPr>
              <w:t>进度计划符合本工程工期要求、关键线路安排合理、保证措施明确具体。施工进度计划及工期工序安排非常合理可行，关键工期安排非常合理，进度控制和管理措施非常合理，（</w:t>
            </w:r>
            <w:r>
              <w:rPr>
                <w:rFonts w:hint="eastAsia" w:ascii="Times New Roman" w:hAnsi="Times New Roman"/>
                <w:color w:val="auto"/>
                <w:sz w:val="21"/>
                <w:szCs w:val="21"/>
                <w:highlight w:val="none"/>
                <w:lang w:val="en-US" w:eastAsia="zh-CN"/>
              </w:rPr>
              <w:t>4</w:t>
            </w:r>
            <w:r>
              <w:rPr>
                <w:rFonts w:hint="eastAsia" w:ascii="Times New Roman" w:hAnsi="Times New Roman" w:eastAsia="宋体"/>
                <w:color w:val="auto"/>
                <w:sz w:val="21"/>
                <w:szCs w:val="21"/>
                <w:highlight w:val="none"/>
              </w:rPr>
              <w:t>分）</w:t>
            </w:r>
            <w:r>
              <w:rPr>
                <w:rFonts w:hint="eastAsia"/>
                <w:color w:val="auto"/>
                <w:sz w:val="21"/>
                <w:szCs w:val="21"/>
                <w:highlight w:val="none"/>
                <w:lang w:eastAsia="zh-CN"/>
              </w:rPr>
              <w:t>；施工进度计划及工期工序安排合理可行，关键工期安排合理，进度控制和管理措施合理，（</w:t>
            </w:r>
            <w:r>
              <w:rPr>
                <w:rFonts w:hint="eastAsia"/>
                <w:color w:val="auto"/>
                <w:sz w:val="21"/>
                <w:szCs w:val="21"/>
                <w:highlight w:val="none"/>
                <w:lang w:val="en-US" w:eastAsia="zh-CN"/>
              </w:rPr>
              <w:t>3分</w:t>
            </w:r>
            <w:r>
              <w:rPr>
                <w:rFonts w:hint="eastAsia"/>
                <w:color w:val="auto"/>
                <w:sz w:val="21"/>
                <w:szCs w:val="21"/>
                <w:highlight w:val="none"/>
                <w:lang w:eastAsia="zh-CN"/>
              </w:rPr>
              <w:t>）；施工进度计划及工期工序安排较合理可行，关键工期安排较合理，进度控制和管理措施较合理，（</w:t>
            </w:r>
            <w:r>
              <w:rPr>
                <w:rFonts w:hint="eastAsia"/>
                <w:color w:val="auto"/>
                <w:sz w:val="21"/>
                <w:szCs w:val="21"/>
                <w:highlight w:val="none"/>
                <w:lang w:val="en-US" w:eastAsia="zh-CN"/>
              </w:rPr>
              <w:t>2分</w:t>
            </w:r>
            <w:r>
              <w:rPr>
                <w:rFonts w:hint="eastAsia"/>
                <w:color w:val="auto"/>
                <w:sz w:val="21"/>
                <w:szCs w:val="21"/>
                <w:highlight w:val="none"/>
                <w:lang w:eastAsia="zh-CN"/>
              </w:rPr>
              <w:t>）；施工进度计划及工期工序安不较合理可行，关键工期安排不合理，进度控制和管理措施不合理，（</w:t>
            </w:r>
            <w:r>
              <w:rPr>
                <w:rFonts w:hint="eastAsia"/>
                <w:color w:val="auto"/>
                <w:sz w:val="21"/>
                <w:szCs w:val="21"/>
                <w:highlight w:val="none"/>
                <w:lang w:val="en-US" w:eastAsia="zh-CN"/>
              </w:rPr>
              <w:t>1分</w:t>
            </w:r>
            <w:r>
              <w:rPr>
                <w:rFonts w:hint="eastAsia"/>
                <w:color w:val="auto"/>
                <w:sz w:val="21"/>
                <w:szCs w:val="21"/>
                <w:highlight w:val="none"/>
                <w:lang w:eastAsia="zh-CN"/>
              </w:rPr>
              <w:t>），不提供不得分。</w:t>
            </w:r>
          </w:p>
        </w:tc>
        <w:tc>
          <w:tcPr>
            <w:tcW w:w="72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51" w:type="dxa"/>
            <w:vAlign w:val="center"/>
          </w:tcPr>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35" w:type="dxa"/>
            <w:vAlign w:val="center"/>
          </w:tcPr>
          <w:p>
            <w:pPr>
              <w:pStyle w:val="139"/>
              <w:spacing w:before="222" w:line="230" w:lineRule="auto"/>
              <w:ind w:right="200" w:rightChars="0"/>
              <w:jc w:val="center"/>
              <w:rPr>
                <w:rFonts w:hint="eastAsia" w:ascii="宋体" w:hAnsi="宋体" w:eastAsia="宋体" w:cs="宋体"/>
                <w:snapToGrid w:val="0"/>
                <w:color w:val="000000"/>
                <w:kern w:val="0"/>
                <w:sz w:val="21"/>
                <w:szCs w:val="21"/>
                <w:highlight w:val="none"/>
                <w:lang w:val="en-US" w:eastAsia="en-US" w:bidi="ar-SA"/>
              </w:rPr>
            </w:pPr>
            <w:r>
              <w:rPr>
                <w:rFonts w:hint="eastAsia"/>
                <w:color w:val="auto"/>
                <w:highlight w:val="none"/>
                <w:lang w:eastAsia="zh-CN"/>
              </w:rPr>
              <w:t>劳动力安排计划及保证措施</w:t>
            </w:r>
          </w:p>
        </w:tc>
        <w:tc>
          <w:tcPr>
            <w:tcW w:w="990" w:type="dxa"/>
            <w:vAlign w:val="center"/>
          </w:tcPr>
          <w:p>
            <w:pPr>
              <w:pStyle w:val="139"/>
              <w:spacing w:before="68" w:line="221" w:lineRule="auto"/>
              <w:jc w:val="center"/>
              <w:rPr>
                <w:rFonts w:hint="default" w:ascii="宋体" w:hAnsi="宋体" w:eastAsia="宋体" w:cs="宋体"/>
                <w:snapToGrid w:val="0"/>
                <w:color w:val="000000"/>
                <w:kern w:val="0"/>
                <w:sz w:val="21"/>
                <w:szCs w:val="21"/>
                <w:highlight w:val="none"/>
                <w:lang w:val="en-US" w:eastAsia="zh-CN" w:bidi="ar-SA"/>
              </w:rPr>
            </w:pPr>
            <w:r>
              <w:rPr>
                <w:rFonts w:hint="eastAsia"/>
                <w:color w:val="auto"/>
                <w:highlight w:val="none"/>
                <w:lang w:val="en-US" w:eastAsia="zh-CN"/>
              </w:rPr>
              <w:t>3</w:t>
            </w:r>
            <w:r>
              <w:rPr>
                <w:color w:val="auto"/>
                <w:highlight w:val="none"/>
                <w:lang w:eastAsia="zh-CN"/>
              </w:rPr>
              <w:t>分</w:t>
            </w:r>
          </w:p>
        </w:tc>
        <w:tc>
          <w:tcPr>
            <w:tcW w:w="5250" w:type="dxa"/>
            <w:vAlign w:val="center"/>
          </w:tcPr>
          <w:p>
            <w:pPr>
              <w:pStyle w:val="139"/>
              <w:spacing w:before="126" w:line="221" w:lineRule="auto"/>
              <w:ind w:left="113" w:leftChars="0"/>
              <w:jc w:val="both"/>
              <w:rPr>
                <w:rFonts w:hint="eastAsia" w:ascii="宋体" w:hAnsi="宋体" w:eastAsia="宋体" w:cs="宋体"/>
                <w:snapToGrid w:val="0"/>
                <w:color w:val="000000"/>
                <w:kern w:val="0"/>
                <w:sz w:val="21"/>
                <w:szCs w:val="21"/>
                <w:highlight w:val="none"/>
                <w:lang w:val="en-US" w:eastAsia="en-US" w:bidi="ar-SA"/>
              </w:rPr>
            </w:pPr>
            <w:r>
              <w:rPr>
                <w:rFonts w:hint="eastAsia"/>
                <w:color w:val="auto"/>
                <w:spacing w:val="-6"/>
                <w:sz w:val="21"/>
                <w:szCs w:val="21"/>
                <w:highlight w:val="none"/>
                <w:lang w:eastAsia="zh-CN"/>
              </w:rPr>
              <w:t>各工种配合比例合理，数量充足，时间安排合理。劳动力安排以及各类生产资源的投入非常合理可行，并能充分保障进度计划的实施，（</w:t>
            </w:r>
            <w:r>
              <w:rPr>
                <w:rFonts w:hint="eastAsia"/>
                <w:color w:val="auto"/>
                <w:spacing w:val="-6"/>
                <w:sz w:val="21"/>
                <w:szCs w:val="21"/>
                <w:highlight w:val="none"/>
                <w:lang w:val="en-US" w:eastAsia="zh-CN"/>
              </w:rPr>
              <w:t>3分</w:t>
            </w:r>
            <w:r>
              <w:rPr>
                <w:rFonts w:hint="eastAsia"/>
                <w:color w:val="auto"/>
                <w:spacing w:val="-6"/>
                <w:sz w:val="21"/>
                <w:szCs w:val="21"/>
                <w:highlight w:val="none"/>
                <w:lang w:eastAsia="zh-CN"/>
              </w:rPr>
              <w:t>）；劳动力安排以及各类生产资源的投入合理可行，并能保障进度计划的实施，（</w:t>
            </w:r>
            <w:r>
              <w:rPr>
                <w:rFonts w:hint="eastAsia"/>
                <w:color w:val="auto"/>
                <w:spacing w:val="-6"/>
                <w:sz w:val="21"/>
                <w:szCs w:val="21"/>
                <w:highlight w:val="none"/>
                <w:lang w:val="en-US" w:eastAsia="zh-CN"/>
              </w:rPr>
              <w:t>2分</w:t>
            </w:r>
            <w:r>
              <w:rPr>
                <w:rFonts w:hint="eastAsia"/>
                <w:color w:val="auto"/>
                <w:spacing w:val="-6"/>
                <w:sz w:val="21"/>
                <w:szCs w:val="21"/>
                <w:highlight w:val="none"/>
                <w:lang w:eastAsia="zh-CN"/>
              </w:rPr>
              <w:t>）；劳动力安排以及各类生产资源的投入较合理可行，能较充分保障进度计划的实施为一般，（</w:t>
            </w:r>
            <w:r>
              <w:rPr>
                <w:rFonts w:hint="eastAsia"/>
                <w:color w:val="auto"/>
                <w:spacing w:val="-6"/>
                <w:sz w:val="21"/>
                <w:szCs w:val="21"/>
                <w:highlight w:val="none"/>
                <w:lang w:val="en-US" w:eastAsia="zh-CN"/>
              </w:rPr>
              <w:t>1分</w:t>
            </w:r>
            <w:r>
              <w:rPr>
                <w:rFonts w:hint="eastAsia"/>
                <w:color w:val="auto"/>
                <w:spacing w:val="-6"/>
                <w:sz w:val="21"/>
                <w:szCs w:val="21"/>
                <w:highlight w:val="none"/>
                <w:lang w:eastAsia="zh-CN"/>
              </w:rPr>
              <w:t>）；劳动力安排以及各类生产资源的投入不合理可行，不能保障进度计划的实施为差或没有的，得0分。</w:t>
            </w:r>
          </w:p>
        </w:tc>
        <w:tc>
          <w:tcPr>
            <w:tcW w:w="72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51" w:type="dxa"/>
            <w:vAlign w:val="center"/>
          </w:tcPr>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935" w:type="dxa"/>
            <w:vAlign w:val="center"/>
          </w:tcPr>
          <w:p>
            <w:pPr>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olor w:val="auto"/>
                <w:highlight w:val="none"/>
                <w:lang w:eastAsia="zh-CN"/>
              </w:rPr>
              <w:t>材料供应计划与保证措施</w:t>
            </w:r>
          </w:p>
        </w:tc>
        <w:tc>
          <w:tcPr>
            <w:tcW w:w="990" w:type="dxa"/>
            <w:vAlign w:val="center"/>
          </w:tcPr>
          <w:p>
            <w:pPr>
              <w:pStyle w:val="139"/>
              <w:spacing w:before="68" w:line="221" w:lineRule="auto"/>
              <w:jc w:val="center"/>
              <w:rPr>
                <w:rFonts w:hint="eastAsia" w:ascii="宋体" w:hAnsi="宋体" w:eastAsia="宋体" w:cs="宋体"/>
                <w:snapToGrid w:val="0"/>
                <w:color w:val="000000"/>
                <w:kern w:val="0"/>
                <w:sz w:val="21"/>
                <w:szCs w:val="21"/>
                <w:highlight w:val="none"/>
                <w:lang w:val="en-US" w:eastAsia="en-US" w:bidi="ar-SA"/>
              </w:rPr>
            </w:pPr>
            <w:r>
              <w:rPr>
                <w:rFonts w:hint="eastAsia"/>
                <w:color w:val="auto"/>
                <w:highlight w:val="none"/>
                <w:lang w:val="en-US" w:eastAsia="zh-CN"/>
              </w:rPr>
              <w:t>3</w:t>
            </w:r>
            <w:r>
              <w:rPr>
                <w:color w:val="auto"/>
                <w:highlight w:val="none"/>
                <w:lang w:eastAsia="zh-CN"/>
              </w:rPr>
              <w:t>分</w:t>
            </w:r>
          </w:p>
        </w:tc>
        <w:tc>
          <w:tcPr>
            <w:tcW w:w="5250" w:type="dxa"/>
            <w:vAlign w:val="center"/>
          </w:tcPr>
          <w:p>
            <w:pPr>
              <w:pStyle w:val="139"/>
              <w:spacing w:before="125" w:line="221" w:lineRule="auto"/>
              <w:ind w:left="113" w:leftChars="0"/>
              <w:jc w:val="both"/>
              <w:rPr>
                <w:rFonts w:hint="eastAsia" w:ascii="宋体" w:hAnsi="宋体" w:eastAsia="宋体" w:cs="宋体"/>
                <w:snapToGrid w:val="0"/>
                <w:color w:val="000000"/>
                <w:kern w:val="0"/>
                <w:sz w:val="21"/>
                <w:szCs w:val="21"/>
                <w:highlight w:val="none"/>
                <w:lang w:val="en-US" w:eastAsia="en-US" w:bidi="ar-SA"/>
              </w:rPr>
            </w:pPr>
            <w:r>
              <w:rPr>
                <w:rFonts w:hint="eastAsia"/>
                <w:color w:val="auto"/>
                <w:sz w:val="21"/>
                <w:szCs w:val="21"/>
                <w:highlight w:val="none"/>
                <w:lang w:eastAsia="zh-CN"/>
              </w:rPr>
              <w:t>提供材料供应保障、进场计划及保证措施且与施工程序相符，满足工程要求。主要材料设备的采购、进场也非常合理可行，能充分保障进度计划的实施，（</w:t>
            </w:r>
            <w:r>
              <w:rPr>
                <w:rFonts w:hint="eastAsia"/>
                <w:color w:val="auto"/>
                <w:sz w:val="21"/>
                <w:szCs w:val="21"/>
                <w:highlight w:val="none"/>
                <w:lang w:val="en-US" w:eastAsia="zh-CN"/>
              </w:rPr>
              <w:t>3分</w:t>
            </w:r>
            <w:r>
              <w:rPr>
                <w:rFonts w:hint="eastAsia"/>
                <w:color w:val="auto"/>
                <w:sz w:val="21"/>
                <w:szCs w:val="21"/>
                <w:highlight w:val="none"/>
                <w:lang w:eastAsia="zh-CN"/>
              </w:rPr>
              <w:t>）；主要材料设备的采购、进场也合理可行，能充分保障进度计划的实施，（</w:t>
            </w:r>
            <w:r>
              <w:rPr>
                <w:rFonts w:hint="eastAsia"/>
                <w:color w:val="auto"/>
                <w:sz w:val="21"/>
                <w:szCs w:val="21"/>
                <w:highlight w:val="none"/>
                <w:lang w:val="en-US" w:eastAsia="zh-CN"/>
              </w:rPr>
              <w:t>2分</w:t>
            </w:r>
            <w:r>
              <w:rPr>
                <w:rFonts w:hint="eastAsia"/>
                <w:color w:val="auto"/>
                <w:sz w:val="21"/>
                <w:szCs w:val="21"/>
                <w:highlight w:val="none"/>
                <w:lang w:eastAsia="zh-CN"/>
              </w:rPr>
              <w:t>）；主要材料设备的采购、进场也较合理可行，能较充分保障进度计划的实施，（</w:t>
            </w:r>
            <w:r>
              <w:rPr>
                <w:rFonts w:hint="eastAsia"/>
                <w:color w:val="auto"/>
                <w:sz w:val="21"/>
                <w:szCs w:val="21"/>
                <w:highlight w:val="none"/>
                <w:lang w:val="en-US" w:eastAsia="zh-CN"/>
              </w:rPr>
              <w:t>1分</w:t>
            </w:r>
            <w:r>
              <w:rPr>
                <w:rFonts w:hint="eastAsia"/>
                <w:color w:val="auto"/>
                <w:sz w:val="21"/>
                <w:szCs w:val="21"/>
                <w:highlight w:val="none"/>
                <w:lang w:eastAsia="zh-CN"/>
              </w:rPr>
              <w:t>）；主要材料设备的采购、进场也不合理可行，不能保障进度计划的实施为差或没有的，得0分。</w:t>
            </w:r>
          </w:p>
        </w:tc>
        <w:tc>
          <w:tcPr>
            <w:tcW w:w="72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51" w:type="dxa"/>
            <w:vAlign w:val="center"/>
          </w:tcPr>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935" w:type="dxa"/>
            <w:vAlign w:val="center"/>
          </w:tcPr>
          <w:p>
            <w:pPr>
              <w:pStyle w:val="139"/>
              <w:spacing w:before="222" w:line="230" w:lineRule="auto"/>
              <w:ind w:right="200" w:rightChars="0"/>
              <w:jc w:val="center"/>
              <w:rPr>
                <w:rFonts w:hint="eastAsia" w:ascii="宋体" w:hAnsi="宋体" w:eastAsia="宋体" w:cs="宋体"/>
                <w:snapToGrid w:val="0"/>
                <w:color w:val="000000"/>
                <w:spacing w:val="-1"/>
                <w:kern w:val="0"/>
                <w:sz w:val="21"/>
                <w:szCs w:val="21"/>
                <w:highlight w:val="none"/>
                <w:lang w:val="en-US" w:eastAsia="en-US" w:bidi="ar-SA"/>
              </w:rPr>
            </w:pPr>
            <w:r>
              <w:rPr>
                <w:rFonts w:hint="eastAsia"/>
                <w:color w:val="auto"/>
                <w:highlight w:val="none"/>
                <w:lang w:eastAsia="zh-CN"/>
              </w:rPr>
              <w:t>质量组织体系及质量技术保证措施</w:t>
            </w:r>
          </w:p>
        </w:tc>
        <w:tc>
          <w:tcPr>
            <w:tcW w:w="990" w:type="dxa"/>
            <w:vAlign w:val="center"/>
          </w:tcPr>
          <w:p>
            <w:pPr>
              <w:pStyle w:val="139"/>
              <w:spacing w:before="68" w:line="221" w:lineRule="auto"/>
              <w:jc w:val="center"/>
              <w:rPr>
                <w:rFonts w:hint="eastAsia" w:ascii="宋体" w:hAnsi="宋体" w:eastAsia="宋体" w:cs="宋体"/>
                <w:snapToGrid w:val="0"/>
                <w:color w:val="000000"/>
                <w:kern w:val="0"/>
                <w:sz w:val="21"/>
                <w:szCs w:val="21"/>
                <w:highlight w:val="none"/>
                <w:lang w:val="en-US" w:eastAsia="zh-CN" w:bidi="ar-SA"/>
              </w:rPr>
            </w:pPr>
            <w:r>
              <w:rPr>
                <w:rFonts w:hint="eastAsia"/>
                <w:color w:val="auto"/>
                <w:highlight w:val="none"/>
                <w:lang w:val="en-US" w:eastAsia="zh-CN"/>
              </w:rPr>
              <w:t>3</w:t>
            </w:r>
            <w:r>
              <w:rPr>
                <w:color w:val="auto"/>
                <w:highlight w:val="none"/>
                <w:lang w:eastAsia="zh-CN"/>
              </w:rPr>
              <w:t>分</w:t>
            </w:r>
          </w:p>
        </w:tc>
        <w:tc>
          <w:tcPr>
            <w:tcW w:w="5250" w:type="dxa"/>
            <w:vAlign w:val="center"/>
          </w:tcPr>
          <w:p>
            <w:pPr>
              <w:pStyle w:val="139"/>
              <w:spacing w:before="126" w:line="221" w:lineRule="auto"/>
              <w:ind w:left="113" w:leftChars="0"/>
              <w:jc w:val="both"/>
              <w:rPr>
                <w:rFonts w:hint="eastAsia" w:ascii="宋体" w:hAnsi="宋体" w:eastAsia="宋体" w:cs="宋体"/>
                <w:snapToGrid w:val="0"/>
                <w:color w:val="000000"/>
                <w:kern w:val="0"/>
                <w:sz w:val="21"/>
                <w:szCs w:val="21"/>
                <w:highlight w:val="none"/>
                <w:lang w:val="en-US" w:eastAsia="zh-CN" w:bidi="ar-SA"/>
              </w:rPr>
            </w:pPr>
            <w:r>
              <w:rPr>
                <w:rFonts w:hint="eastAsia"/>
                <w:color w:val="auto"/>
                <w:spacing w:val="-6"/>
                <w:sz w:val="21"/>
                <w:szCs w:val="21"/>
                <w:highlight w:val="none"/>
                <w:lang w:eastAsia="zh-CN"/>
              </w:rPr>
              <w:t>具有质量组织体系，针对本工程有具体质量保证措施和防治质量通病措施。质量组织体系非常完善、具备全面的质量保证措施及预防措施，（</w:t>
            </w:r>
            <w:r>
              <w:rPr>
                <w:rFonts w:hint="eastAsia"/>
                <w:color w:val="auto"/>
                <w:spacing w:val="-6"/>
                <w:sz w:val="21"/>
                <w:szCs w:val="21"/>
                <w:highlight w:val="none"/>
                <w:lang w:val="en-US" w:eastAsia="zh-CN"/>
              </w:rPr>
              <w:t>3分</w:t>
            </w:r>
            <w:r>
              <w:rPr>
                <w:rFonts w:hint="eastAsia"/>
                <w:color w:val="auto"/>
                <w:spacing w:val="-6"/>
                <w:sz w:val="21"/>
                <w:szCs w:val="21"/>
                <w:highlight w:val="none"/>
                <w:lang w:eastAsia="zh-CN"/>
              </w:rPr>
              <w:t>），质量组织体系完善、具备全面的质量保证措施及预防措施较好，（</w:t>
            </w:r>
            <w:r>
              <w:rPr>
                <w:rFonts w:hint="eastAsia"/>
                <w:color w:val="auto"/>
                <w:spacing w:val="-6"/>
                <w:sz w:val="21"/>
                <w:szCs w:val="21"/>
                <w:highlight w:val="none"/>
                <w:lang w:val="en-US" w:eastAsia="zh-CN"/>
              </w:rPr>
              <w:t>2分</w:t>
            </w:r>
            <w:r>
              <w:rPr>
                <w:rFonts w:hint="eastAsia"/>
                <w:color w:val="auto"/>
                <w:spacing w:val="-6"/>
                <w:sz w:val="21"/>
                <w:szCs w:val="21"/>
                <w:highlight w:val="none"/>
                <w:lang w:eastAsia="zh-CN"/>
              </w:rPr>
              <w:t>），质量组织体系一般、具备质量保证措施及预防措施，（</w:t>
            </w:r>
            <w:r>
              <w:rPr>
                <w:rFonts w:hint="eastAsia"/>
                <w:color w:val="auto"/>
                <w:spacing w:val="-6"/>
                <w:sz w:val="21"/>
                <w:szCs w:val="21"/>
                <w:highlight w:val="none"/>
                <w:lang w:val="en-US" w:eastAsia="zh-CN"/>
              </w:rPr>
              <w:t>1分</w:t>
            </w:r>
            <w:r>
              <w:rPr>
                <w:rFonts w:hint="eastAsia"/>
                <w:color w:val="auto"/>
                <w:spacing w:val="-6"/>
                <w:sz w:val="21"/>
                <w:szCs w:val="21"/>
                <w:highlight w:val="none"/>
                <w:lang w:eastAsia="zh-CN"/>
              </w:rPr>
              <w:t>），无质量组织体系或不合理、无质量保证措施及预防措施或不合理得0分。</w:t>
            </w:r>
          </w:p>
        </w:tc>
        <w:tc>
          <w:tcPr>
            <w:tcW w:w="72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51" w:type="dxa"/>
            <w:vAlign w:val="center"/>
          </w:tcPr>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935" w:type="dxa"/>
            <w:vAlign w:val="center"/>
          </w:tcPr>
          <w:p>
            <w:pPr>
              <w:pStyle w:val="139"/>
              <w:spacing w:before="222" w:line="230" w:lineRule="auto"/>
              <w:ind w:right="200" w:rightChars="0"/>
              <w:jc w:val="center"/>
              <w:rPr>
                <w:rFonts w:hint="eastAsia" w:ascii="宋体" w:hAnsi="宋体" w:eastAsia="宋体" w:cs="宋体"/>
                <w:snapToGrid w:val="0"/>
                <w:color w:val="000000"/>
                <w:spacing w:val="-1"/>
                <w:kern w:val="0"/>
                <w:sz w:val="21"/>
                <w:szCs w:val="21"/>
                <w:highlight w:val="none"/>
                <w:lang w:val="en-US" w:eastAsia="zh-CN" w:bidi="ar-SA"/>
              </w:rPr>
            </w:pPr>
            <w:r>
              <w:rPr>
                <w:rFonts w:hint="eastAsia"/>
                <w:color w:val="auto"/>
                <w:highlight w:val="none"/>
                <w:lang w:eastAsia="zh-CN"/>
              </w:rPr>
              <w:t>安全组织体系及安全技术保证措施</w:t>
            </w:r>
          </w:p>
        </w:tc>
        <w:tc>
          <w:tcPr>
            <w:tcW w:w="990" w:type="dxa"/>
            <w:vAlign w:val="center"/>
          </w:tcPr>
          <w:p>
            <w:pPr>
              <w:pStyle w:val="139"/>
              <w:spacing w:before="68" w:line="221" w:lineRule="auto"/>
              <w:jc w:val="center"/>
              <w:rPr>
                <w:rFonts w:hint="eastAsia" w:ascii="宋体" w:hAnsi="宋体" w:eastAsia="宋体" w:cs="宋体"/>
                <w:snapToGrid w:val="0"/>
                <w:color w:val="000000"/>
                <w:kern w:val="0"/>
                <w:sz w:val="21"/>
                <w:szCs w:val="21"/>
                <w:highlight w:val="none"/>
                <w:lang w:val="en-US" w:eastAsia="zh-CN" w:bidi="ar-SA"/>
              </w:rPr>
            </w:pPr>
            <w:r>
              <w:rPr>
                <w:rFonts w:hint="eastAsia"/>
                <w:color w:val="auto"/>
                <w:highlight w:val="none"/>
                <w:lang w:val="en-US" w:eastAsia="zh-CN"/>
              </w:rPr>
              <w:t>3</w:t>
            </w:r>
            <w:r>
              <w:rPr>
                <w:color w:val="auto"/>
                <w:highlight w:val="none"/>
                <w:lang w:eastAsia="zh-CN"/>
              </w:rPr>
              <w:t>分</w:t>
            </w:r>
          </w:p>
        </w:tc>
        <w:tc>
          <w:tcPr>
            <w:tcW w:w="5250" w:type="dxa"/>
            <w:vAlign w:val="center"/>
          </w:tcPr>
          <w:p>
            <w:pPr>
              <w:pStyle w:val="139"/>
              <w:spacing w:before="126" w:line="221" w:lineRule="auto"/>
              <w:ind w:left="113" w:leftChars="0"/>
              <w:jc w:val="both"/>
              <w:rPr>
                <w:rFonts w:hint="eastAsia" w:ascii="宋体" w:hAnsi="宋体" w:eastAsia="宋体" w:cs="宋体"/>
                <w:snapToGrid w:val="0"/>
                <w:color w:val="000000"/>
                <w:kern w:val="0"/>
                <w:sz w:val="21"/>
                <w:szCs w:val="21"/>
                <w:highlight w:val="none"/>
                <w:lang w:val="en-US" w:eastAsia="zh-CN" w:bidi="ar-SA"/>
              </w:rPr>
            </w:pPr>
            <w:r>
              <w:rPr>
                <w:rFonts w:hint="eastAsia"/>
                <w:color w:val="auto"/>
                <w:spacing w:val="-6"/>
                <w:sz w:val="21"/>
                <w:szCs w:val="21"/>
                <w:highlight w:val="none"/>
                <w:lang w:eastAsia="zh-CN"/>
              </w:rPr>
              <w:t>安全管理体系完整、科学、针对性强，安全技术措施全面、责任人具体。安全管理体系完整、科学、非常具有针对性、安全技术措施全面、责任人具体，（</w:t>
            </w:r>
            <w:r>
              <w:rPr>
                <w:rFonts w:hint="eastAsia"/>
                <w:color w:val="auto"/>
                <w:spacing w:val="-6"/>
                <w:sz w:val="21"/>
                <w:szCs w:val="21"/>
                <w:highlight w:val="none"/>
                <w:lang w:val="en-US" w:eastAsia="zh-CN"/>
              </w:rPr>
              <w:t>3分</w:t>
            </w:r>
            <w:r>
              <w:rPr>
                <w:rFonts w:hint="eastAsia"/>
                <w:color w:val="auto"/>
                <w:spacing w:val="-6"/>
                <w:sz w:val="21"/>
                <w:szCs w:val="21"/>
                <w:highlight w:val="none"/>
                <w:lang w:eastAsia="zh-CN"/>
              </w:rPr>
              <w:t>），安全管理体系完整、科学、具有针对性、安全技术措施全面、责任人具体，（</w:t>
            </w:r>
            <w:r>
              <w:rPr>
                <w:rFonts w:hint="eastAsia"/>
                <w:color w:val="auto"/>
                <w:spacing w:val="-6"/>
                <w:sz w:val="21"/>
                <w:szCs w:val="21"/>
                <w:highlight w:val="none"/>
                <w:lang w:val="en-US" w:eastAsia="zh-CN"/>
              </w:rPr>
              <w:t>2分</w:t>
            </w:r>
            <w:r>
              <w:rPr>
                <w:rFonts w:hint="eastAsia"/>
                <w:color w:val="auto"/>
                <w:spacing w:val="-6"/>
                <w:sz w:val="21"/>
                <w:szCs w:val="21"/>
                <w:highlight w:val="none"/>
                <w:lang w:eastAsia="zh-CN"/>
              </w:rPr>
              <w:t>），安全管理体系略完整、有针对性、有安全技术措施、责任人具体，（</w:t>
            </w:r>
            <w:r>
              <w:rPr>
                <w:rFonts w:hint="eastAsia"/>
                <w:color w:val="auto"/>
                <w:spacing w:val="-6"/>
                <w:sz w:val="21"/>
                <w:szCs w:val="21"/>
                <w:highlight w:val="none"/>
                <w:lang w:val="en-US" w:eastAsia="zh-CN"/>
              </w:rPr>
              <w:t>1分</w:t>
            </w:r>
            <w:r>
              <w:rPr>
                <w:rFonts w:hint="eastAsia"/>
                <w:color w:val="auto"/>
                <w:spacing w:val="-6"/>
                <w:sz w:val="21"/>
                <w:szCs w:val="21"/>
                <w:highlight w:val="none"/>
                <w:lang w:eastAsia="zh-CN"/>
              </w:rPr>
              <w:t>），不合理或没有的，得0分。</w:t>
            </w:r>
          </w:p>
        </w:tc>
        <w:tc>
          <w:tcPr>
            <w:tcW w:w="72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751" w:type="dxa"/>
            <w:vAlign w:val="center"/>
          </w:tcPr>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935" w:type="dxa"/>
            <w:vAlign w:val="center"/>
          </w:tcPr>
          <w:p>
            <w:pPr>
              <w:pStyle w:val="139"/>
              <w:spacing w:before="222" w:line="230" w:lineRule="auto"/>
              <w:ind w:right="200" w:rightChars="0"/>
              <w:jc w:val="center"/>
              <w:rPr>
                <w:rFonts w:hint="eastAsia" w:ascii="宋体" w:hAnsi="宋体" w:eastAsia="宋体" w:cs="宋体"/>
                <w:snapToGrid w:val="0"/>
                <w:color w:val="auto"/>
                <w:kern w:val="0"/>
                <w:sz w:val="21"/>
                <w:szCs w:val="21"/>
                <w:highlight w:val="none"/>
                <w:lang w:val="en-US" w:eastAsia="en-US" w:bidi="ar-SA"/>
              </w:rPr>
            </w:pPr>
            <w:r>
              <w:rPr>
                <w:rFonts w:hint="eastAsia"/>
                <w:color w:val="auto"/>
                <w:highlight w:val="none"/>
                <w:lang w:eastAsia="zh-CN"/>
              </w:rPr>
              <w:t>文明施工保证措施</w:t>
            </w:r>
          </w:p>
        </w:tc>
        <w:tc>
          <w:tcPr>
            <w:tcW w:w="990" w:type="dxa"/>
            <w:vAlign w:val="center"/>
          </w:tcPr>
          <w:p>
            <w:pPr>
              <w:pStyle w:val="139"/>
              <w:spacing w:before="68" w:line="221" w:lineRule="auto"/>
              <w:jc w:val="center"/>
              <w:rPr>
                <w:rFonts w:hint="eastAsia" w:ascii="宋体" w:hAnsi="宋体" w:eastAsia="宋体" w:cs="宋体"/>
                <w:snapToGrid w:val="0"/>
                <w:color w:val="auto"/>
                <w:kern w:val="0"/>
                <w:sz w:val="21"/>
                <w:szCs w:val="21"/>
                <w:highlight w:val="none"/>
                <w:lang w:val="en-US" w:eastAsia="en-US" w:bidi="ar-SA"/>
              </w:rPr>
            </w:pPr>
            <w:r>
              <w:rPr>
                <w:rFonts w:hint="eastAsia"/>
                <w:color w:val="auto"/>
                <w:highlight w:val="none"/>
                <w:lang w:val="en-US" w:eastAsia="zh-CN"/>
              </w:rPr>
              <w:t>3</w:t>
            </w:r>
            <w:r>
              <w:rPr>
                <w:color w:val="auto"/>
                <w:highlight w:val="none"/>
                <w:lang w:eastAsia="zh-CN"/>
              </w:rPr>
              <w:t>分</w:t>
            </w:r>
          </w:p>
        </w:tc>
        <w:tc>
          <w:tcPr>
            <w:tcW w:w="5250" w:type="dxa"/>
            <w:vAlign w:val="center"/>
          </w:tcPr>
          <w:p>
            <w:pPr>
              <w:pStyle w:val="139"/>
              <w:spacing w:before="126" w:line="221" w:lineRule="auto"/>
              <w:ind w:left="113" w:leftChars="0"/>
              <w:jc w:val="both"/>
              <w:rPr>
                <w:rFonts w:hint="eastAsia" w:ascii="宋体" w:hAnsi="宋体" w:eastAsia="宋体" w:cs="宋体"/>
                <w:snapToGrid w:val="0"/>
                <w:color w:val="auto"/>
                <w:spacing w:val="-6"/>
                <w:kern w:val="0"/>
                <w:sz w:val="21"/>
                <w:szCs w:val="21"/>
                <w:highlight w:val="none"/>
                <w:lang w:val="en-US" w:eastAsia="en-US" w:bidi="ar-SA"/>
              </w:rPr>
            </w:pPr>
            <w:r>
              <w:rPr>
                <w:rFonts w:hint="eastAsia"/>
                <w:color w:val="auto"/>
                <w:spacing w:val="-6"/>
                <w:highlight w:val="none"/>
                <w:lang w:eastAsia="zh-CN"/>
              </w:rPr>
              <w:t>有针对性，能保证本工程要求，且符合本项目实际情况，冬季施工，现场围挡、警示标志、路口封闭，材料堆放合理整齐，具有减少扰民措施等。整体措施全面有针对性、详尽具体，（</w:t>
            </w:r>
            <w:r>
              <w:rPr>
                <w:rFonts w:hint="eastAsia"/>
                <w:color w:val="auto"/>
                <w:spacing w:val="-6"/>
                <w:highlight w:val="none"/>
                <w:lang w:val="en-US" w:eastAsia="zh-CN"/>
              </w:rPr>
              <w:t>3分</w:t>
            </w:r>
            <w:r>
              <w:rPr>
                <w:rFonts w:hint="eastAsia"/>
                <w:color w:val="auto"/>
                <w:spacing w:val="-6"/>
                <w:highlight w:val="none"/>
                <w:lang w:eastAsia="zh-CN"/>
              </w:rPr>
              <w:t>），整体措施全面有针对性、较为详尽，（</w:t>
            </w:r>
            <w:r>
              <w:rPr>
                <w:rFonts w:hint="eastAsia"/>
                <w:color w:val="auto"/>
                <w:spacing w:val="-6"/>
                <w:highlight w:val="none"/>
                <w:lang w:val="en-US" w:eastAsia="zh-CN"/>
              </w:rPr>
              <w:t>2分</w:t>
            </w:r>
            <w:r>
              <w:rPr>
                <w:rFonts w:hint="eastAsia"/>
                <w:color w:val="auto"/>
                <w:spacing w:val="-6"/>
                <w:highlight w:val="none"/>
                <w:lang w:eastAsia="zh-CN"/>
              </w:rPr>
              <w:t>），整体措施全面、略为详尽，（</w:t>
            </w:r>
            <w:r>
              <w:rPr>
                <w:rFonts w:hint="eastAsia"/>
                <w:color w:val="auto"/>
                <w:spacing w:val="-6"/>
                <w:highlight w:val="none"/>
                <w:lang w:val="en-US" w:eastAsia="zh-CN"/>
              </w:rPr>
              <w:t>1分</w:t>
            </w:r>
            <w:r>
              <w:rPr>
                <w:rFonts w:hint="eastAsia"/>
                <w:color w:val="auto"/>
                <w:spacing w:val="-6"/>
                <w:highlight w:val="none"/>
                <w:lang w:eastAsia="zh-CN"/>
              </w:rPr>
              <w:t>），较差或没有的，得0分。</w:t>
            </w:r>
          </w:p>
        </w:tc>
        <w:tc>
          <w:tcPr>
            <w:tcW w:w="720" w:type="dxa"/>
            <w:vAlign w:val="top"/>
          </w:tcPr>
          <w:p>
            <w:pPr>
              <w:rPr>
                <w:rFonts w:ascii="Arial"/>
                <w:sz w:val="21"/>
                <w:highlight w:val="none"/>
              </w:rPr>
            </w:pPr>
          </w:p>
        </w:tc>
      </w:tr>
    </w:tbl>
    <w:p>
      <w:pPr>
        <w:spacing w:before="15"/>
        <w:rPr>
          <w:highlight w:val="none"/>
        </w:rPr>
      </w:pPr>
    </w:p>
    <w:p>
      <w:pPr>
        <w:spacing w:before="14"/>
        <w:rPr>
          <w:highlight w:val="none"/>
        </w:rPr>
      </w:pPr>
    </w:p>
    <w:tbl>
      <w:tblPr>
        <w:tblStyle w:val="140"/>
        <w:tblW w:w="9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1770"/>
        <w:gridCol w:w="1007"/>
        <w:gridCol w:w="5243"/>
        <w:gridCol w:w="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1" w:hRule="atLeast"/>
        </w:trPr>
        <w:tc>
          <w:tcPr>
            <w:tcW w:w="899" w:type="dxa"/>
            <w:vAlign w:val="top"/>
          </w:tcPr>
          <w:p>
            <w:pPr>
              <w:pStyle w:val="139"/>
              <w:spacing w:before="151" w:line="222" w:lineRule="auto"/>
              <w:ind w:left="427"/>
              <w:jc w:val="both"/>
              <w:rPr>
                <w:highlight w:val="none"/>
              </w:rPr>
            </w:pPr>
            <w:r>
              <w:rPr>
                <w:spacing w:val="-2"/>
                <w:highlight w:val="none"/>
              </w:rPr>
              <w:t>序号</w:t>
            </w:r>
          </w:p>
        </w:tc>
        <w:tc>
          <w:tcPr>
            <w:tcW w:w="1770" w:type="dxa"/>
            <w:vAlign w:val="top"/>
          </w:tcPr>
          <w:p>
            <w:pPr>
              <w:pStyle w:val="139"/>
              <w:spacing w:before="151" w:line="221" w:lineRule="auto"/>
              <w:jc w:val="center"/>
              <w:rPr>
                <w:highlight w:val="none"/>
              </w:rPr>
            </w:pPr>
            <w:r>
              <w:rPr>
                <w:spacing w:val="-1"/>
                <w:highlight w:val="none"/>
              </w:rPr>
              <w:t>评分因素</w:t>
            </w:r>
          </w:p>
        </w:tc>
        <w:tc>
          <w:tcPr>
            <w:tcW w:w="1007" w:type="dxa"/>
            <w:vAlign w:val="top"/>
          </w:tcPr>
          <w:p>
            <w:pPr>
              <w:pStyle w:val="139"/>
              <w:spacing w:before="151" w:line="221" w:lineRule="auto"/>
              <w:jc w:val="center"/>
              <w:rPr>
                <w:highlight w:val="none"/>
              </w:rPr>
            </w:pPr>
            <w:r>
              <w:rPr>
                <w:spacing w:val="-3"/>
                <w:highlight w:val="none"/>
              </w:rPr>
              <w:t>分值</w:t>
            </w:r>
          </w:p>
        </w:tc>
        <w:tc>
          <w:tcPr>
            <w:tcW w:w="5243" w:type="dxa"/>
            <w:vAlign w:val="top"/>
          </w:tcPr>
          <w:p>
            <w:pPr>
              <w:pStyle w:val="139"/>
              <w:spacing w:before="152" w:line="221" w:lineRule="auto"/>
              <w:ind w:left="1270"/>
              <w:jc w:val="center"/>
              <w:rPr>
                <w:highlight w:val="none"/>
              </w:rPr>
            </w:pPr>
            <w:r>
              <w:rPr>
                <w:spacing w:val="-1"/>
                <w:highlight w:val="none"/>
              </w:rPr>
              <w:t>评分标准</w:t>
            </w:r>
          </w:p>
        </w:tc>
        <w:tc>
          <w:tcPr>
            <w:tcW w:w="742" w:type="dxa"/>
            <w:vAlign w:val="top"/>
          </w:tcPr>
          <w:p>
            <w:pPr>
              <w:pStyle w:val="139"/>
              <w:spacing w:before="152" w:line="221" w:lineRule="auto"/>
              <w:ind w:firstLine="206" w:firstLineChars="100"/>
              <w:jc w:val="center"/>
              <w:rPr>
                <w:highlight w:val="none"/>
              </w:rPr>
            </w:pPr>
            <w:r>
              <w:rPr>
                <w:spacing w:val="-2"/>
                <w:highlight w:val="none"/>
              </w:rPr>
              <w:t>赋分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899" w:type="dxa"/>
            <w:vAlign w:val="center"/>
          </w:tcPr>
          <w:p>
            <w:pPr>
              <w:pStyle w:val="139"/>
              <w:spacing w:before="190" w:line="179" w:lineRule="auto"/>
              <w:ind w:left="537"/>
              <w:jc w:val="both"/>
              <w:rPr>
                <w:highlight w:val="none"/>
              </w:rPr>
            </w:pPr>
            <w:r>
              <w:rPr>
                <w:highlight w:val="none"/>
              </w:rPr>
              <w:t>二</w:t>
            </w:r>
          </w:p>
        </w:tc>
        <w:tc>
          <w:tcPr>
            <w:tcW w:w="1770" w:type="dxa"/>
            <w:vAlign w:val="center"/>
          </w:tcPr>
          <w:p>
            <w:pPr>
              <w:pStyle w:val="139"/>
              <w:spacing w:before="222" w:line="230" w:lineRule="auto"/>
              <w:ind w:right="200" w:rightChars="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项目经理及项目人员配备</w:t>
            </w:r>
          </w:p>
        </w:tc>
        <w:tc>
          <w:tcPr>
            <w:tcW w:w="1007" w:type="dxa"/>
            <w:vAlign w:val="center"/>
          </w:tcPr>
          <w:p>
            <w:pPr>
              <w:pStyle w:val="139"/>
              <w:spacing w:before="222" w:line="230" w:lineRule="auto"/>
              <w:ind w:right="200" w:rightChars="0"/>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4分</w:t>
            </w:r>
          </w:p>
        </w:tc>
        <w:tc>
          <w:tcPr>
            <w:tcW w:w="5243" w:type="dxa"/>
            <w:vAlign w:val="top"/>
          </w:tcPr>
          <w:p>
            <w:pPr>
              <w:numPr>
                <w:ilvl w:val="0"/>
                <w:numId w:val="3"/>
              </w:num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项目经理具有水利行业中级及以上职称的，得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w:t>
            </w:r>
          </w:p>
          <w:p>
            <w:pPr>
              <w:numPr>
                <w:ilvl w:val="0"/>
                <w:numId w:val="3"/>
              </w:numPr>
              <w:jc w:val="both"/>
              <w:rPr>
                <w:rFonts w:hint="default"/>
                <w:highlight w:val="none"/>
                <w:lang w:val="en-US" w:eastAsia="zh-CN"/>
              </w:rPr>
            </w:pPr>
            <w:r>
              <w:rPr>
                <w:rFonts w:hint="eastAsia" w:ascii="宋体" w:hAnsi="宋体" w:eastAsia="宋体" w:cs="宋体"/>
                <w:color w:val="auto"/>
                <w:highlight w:val="none"/>
                <w:lang w:val="en-US" w:eastAsia="zh-CN"/>
              </w:rPr>
              <w:t>技术负责人具有</w:t>
            </w:r>
            <w:r>
              <w:rPr>
                <w:rFonts w:hint="eastAsia" w:ascii="宋体" w:hAnsi="宋体" w:eastAsia="宋体" w:cs="宋体"/>
                <w:color w:val="auto"/>
                <w:highlight w:val="none"/>
                <w:lang w:eastAsia="zh-CN"/>
              </w:rPr>
              <w:t>水利行业</w:t>
            </w:r>
            <w:r>
              <w:rPr>
                <w:rFonts w:hint="eastAsia" w:ascii="宋体" w:hAnsi="宋体" w:eastAsia="宋体" w:cs="宋体"/>
                <w:color w:val="auto"/>
                <w:highlight w:val="none"/>
                <w:lang w:val="en-US" w:eastAsia="zh-CN"/>
              </w:rPr>
              <w:t>高级</w:t>
            </w:r>
            <w:r>
              <w:rPr>
                <w:rFonts w:hint="eastAsia" w:ascii="宋体" w:hAnsi="宋体" w:eastAsia="宋体" w:cs="宋体"/>
                <w:color w:val="auto"/>
                <w:highlight w:val="none"/>
                <w:lang w:eastAsia="zh-CN"/>
              </w:rPr>
              <w:t>及以上职称的，得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w:t>
            </w:r>
          </w:p>
          <w:p>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项目组织机构人员[施工员、质检员、安全员、资料员或档案员</w:t>
            </w:r>
            <w:bookmarkStart w:id="1168" w:name="_GoBack"/>
            <w:bookmarkEnd w:id="1168"/>
            <w:r>
              <w:rPr>
                <w:rFonts w:hint="eastAsia" w:ascii="宋体" w:hAnsi="宋体" w:eastAsia="宋体" w:cs="宋体"/>
                <w:color w:val="auto"/>
                <w:highlight w:val="none"/>
                <w:lang w:eastAsia="zh-CN"/>
              </w:rPr>
              <w:t>、材料员]全部具备得2分，每少一名扣0.5分,最低得0分。</w:t>
            </w:r>
          </w:p>
          <w:p>
            <w:pPr>
              <w:jc w:val="left"/>
              <w:rPr>
                <w:rFonts w:ascii="宋体" w:hAnsi="宋体" w:eastAsia="宋体" w:cs="宋体"/>
                <w:snapToGrid w:val="0"/>
                <w:color w:val="000000"/>
                <w:spacing w:val="-2"/>
                <w:kern w:val="0"/>
                <w:sz w:val="21"/>
                <w:szCs w:val="21"/>
                <w:highlight w:val="none"/>
                <w:lang w:val="en-US" w:eastAsia="en-US" w:bidi="ar-SA"/>
              </w:rPr>
            </w:pPr>
            <w:r>
              <w:rPr>
                <w:rFonts w:hint="eastAsia" w:ascii="宋体" w:hAnsi="宋体" w:eastAsia="宋体" w:cs="宋体"/>
                <w:color w:val="auto"/>
                <w:highlight w:val="none"/>
                <w:lang w:eastAsia="zh-CN"/>
              </w:rPr>
              <w:t>[评标时以</w:t>
            </w:r>
            <w:r>
              <w:rPr>
                <w:rFonts w:hint="eastAsia" w:ascii="宋体" w:hAnsi="宋体" w:eastAsia="宋体" w:cs="宋体"/>
                <w:color w:val="auto"/>
                <w:highlight w:val="none"/>
                <w:lang w:val="en-US" w:eastAsia="zh-CN"/>
              </w:rPr>
              <w:t>上述人员证书</w:t>
            </w:r>
            <w:r>
              <w:rPr>
                <w:rFonts w:hint="eastAsia" w:ascii="宋体" w:hAnsi="宋体" w:eastAsia="宋体" w:cs="宋体"/>
                <w:color w:val="auto"/>
                <w:highlight w:val="none"/>
                <w:lang w:eastAsia="zh-CN"/>
              </w:rPr>
              <w:t>及其与投标人单位签订的一年以上（含1年）劳动合同或经人社部门认定盖章的社会养老保险证明为评审依据，投标文件中附扫描件，不满足以上要求不得分。]</w:t>
            </w:r>
          </w:p>
        </w:tc>
        <w:tc>
          <w:tcPr>
            <w:tcW w:w="742" w:type="dxa"/>
            <w:vAlign w:val="top"/>
          </w:tcPr>
          <w:p>
            <w:pPr>
              <w:rPr>
                <w:rFonts w:ascii="Arial"/>
                <w:sz w:val="21"/>
                <w:highlight w:val="none"/>
              </w:rPr>
            </w:pPr>
          </w:p>
        </w:tc>
      </w:tr>
    </w:tbl>
    <w:p>
      <w:pPr>
        <w:spacing w:before="70"/>
        <w:rPr>
          <w:highlight w:val="none"/>
        </w:rPr>
      </w:pPr>
    </w:p>
    <w:p>
      <w:pPr>
        <w:pStyle w:val="15"/>
      </w:pPr>
    </w:p>
    <w:tbl>
      <w:tblPr>
        <w:tblStyle w:val="140"/>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1740"/>
        <w:gridCol w:w="1060"/>
        <w:gridCol w:w="5250"/>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9" w:type="dxa"/>
            <w:vAlign w:val="top"/>
          </w:tcPr>
          <w:p>
            <w:pPr>
              <w:pStyle w:val="139"/>
              <w:spacing w:before="151" w:line="222" w:lineRule="auto"/>
              <w:jc w:val="center"/>
              <w:rPr>
                <w:highlight w:val="none"/>
              </w:rPr>
            </w:pPr>
            <w:r>
              <w:rPr>
                <w:spacing w:val="-2"/>
                <w:highlight w:val="none"/>
              </w:rPr>
              <w:t>序号</w:t>
            </w:r>
          </w:p>
        </w:tc>
        <w:tc>
          <w:tcPr>
            <w:tcW w:w="1740" w:type="dxa"/>
            <w:vAlign w:val="top"/>
          </w:tcPr>
          <w:p>
            <w:pPr>
              <w:pStyle w:val="139"/>
              <w:spacing w:before="151" w:line="221" w:lineRule="auto"/>
              <w:ind w:left="636"/>
              <w:rPr>
                <w:highlight w:val="none"/>
              </w:rPr>
            </w:pPr>
            <w:r>
              <w:rPr>
                <w:spacing w:val="-1"/>
                <w:highlight w:val="none"/>
              </w:rPr>
              <w:t>评分因素</w:t>
            </w:r>
          </w:p>
        </w:tc>
        <w:tc>
          <w:tcPr>
            <w:tcW w:w="1060" w:type="dxa"/>
            <w:vAlign w:val="top"/>
          </w:tcPr>
          <w:p>
            <w:pPr>
              <w:pStyle w:val="139"/>
              <w:spacing w:before="151" w:line="221" w:lineRule="auto"/>
              <w:ind w:left="429"/>
              <w:rPr>
                <w:highlight w:val="none"/>
              </w:rPr>
            </w:pPr>
            <w:r>
              <w:rPr>
                <w:spacing w:val="-3"/>
                <w:highlight w:val="none"/>
              </w:rPr>
              <w:t>分值</w:t>
            </w:r>
          </w:p>
        </w:tc>
        <w:tc>
          <w:tcPr>
            <w:tcW w:w="5250" w:type="dxa"/>
            <w:vAlign w:val="top"/>
          </w:tcPr>
          <w:p>
            <w:pPr>
              <w:pStyle w:val="139"/>
              <w:spacing w:before="152" w:line="221" w:lineRule="auto"/>
              <w:ind w:left="1270"/>
              <w:rPr>
                <w:highlight w:val="none"/>
              </w:rPr>
            </w:pPr>
            <w:r>
              <w:rPr>
                <w:spacing w:val="-1"/>
                <w:highlight w:val="none"/>
              </w:rPr>
              <w:t>评分标准</w:t>
            </w:r>
          </w:p>
        </w:tc>
        <w:tc>
          <w:tcPr>
            <w:tcW w:w="697" w:type="dxa"/>
            <w:vAlign w:val="top"/>
          </w:tcPr>
          <w:p>
            <w:pPr>
              <w:pStyle w:val="139"/>
              <w:spacing w:before="152" w:line="221" w:lineRule="auto"/>
              <w:jc w:val="center"/>
              <w:rPr>
                <w:highlight w:val="none"/>
              </w:rPr>
            </w:pPr>
            <w:r>
              <w:rPr>
                <w:spacing w:val="-2"/>
                <w:highlight w:val="none"/>
              </w:rPr>
              <w:t>赋分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29" w:type="dxa"/>
            <w:vAlign w:val="top"/>
          </w:tcPr>
          <w:p>
            <w:pPr>
              <w:pStyle w:val="139"/>
              <w:spacing w:before="151" w:line="238" w:lineRule="auto"/>
              <w:jc w:val="center"/>
              <w:rPr>
                <w:highlight w:val="none"/>
              </w:rPr>
            </w:pPr>
            <w:r>
              <w:rPr>
                <w:highlight w:val="none"/>
              </w:rPr>
              <w:t>三</w:t>
            </w:r>
          </w:p>
        </w:tc>
        <w:tc>
          <w:tcPr>
            <w:tcW w:w="1740" w:type="dxa"/>
            <w:vAlign w:val="top"/>
          </w:tcPr>
          <w:p>
            <w:pPr>
              <w:pStyle w:val="139"/>
              <w:spacing w:before="152" w:line="219" w:lineRule="auto"/>
              <w:ind w:left="639"/>
              <w:rPr>
                <w:highlight w:val="none"/>
              </w:rPr>
            </w:pPr>
            <w:r>
              <w:rPr>
                <w:spacing w:val="-2"/>
                <w:highlight w:val="none"/>
              </w:rPr>
              <w:t>投标报价</w:t>
            </w:r>
          </w:p>
        </w:tc>
        <w:tc>
          <w:tcPr>
            <w:tcW w:w="1060" w:type="dxa"/>
            <w:vAlign w:val="top"/>
          </w:tcPr>
          <w:p>
            <w:pPr>
              <w:rPr>
                <w:rFonts w:ascii="Arial"/>
                <w:sz w:val="21"/>
                <w:highlight w:val="none"/>
              </w:rPr>
            </w:pPr>
          </w:p>
        </w:tc>
        <w:tc>
          <w:tcPr>
            <w:tcW w:w="5250" w:type="dxa"/>
            <w:vAlign w:val="top"/>
          </w:tcPr>
          <w:p>
            <w:pPr>
              <w:rPr>
                <w:rFonts w:ascii="Arial"/>
                <w:sz w:val="21"/>
                <w:highlight w:val="none"/>
              </w:rPr>
            </w:pPr>
          </w:p>
        </w:tc>
        <w:tc>
          <w:tcPr>
            <w:tcW w:w="69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9" w:type="dxa"/>
            <w:vAlign w:val="top"/>
          </w:tcPr>
          <w:p>
            <w:pPr>
              <w:spacing w:line="251"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pStyle w:val="139"/>
              <w:spacing w:before="68" w:line="183" w:lineRule="auto"/>
              <w:ind w:left="602"/>
              <w:rPr>
                <w:highlight w:val="none"/>
              </w:rPr>
            </w:pPr>
            <w:r>
              <w:rPr>
                <w:highlight w:val="none"/>
              </w:rPr>
              <w:t>1</w:t>
            </w:r>
          </w:p>
        </w:tc>
        <w:tc>
          <w:tcPr>
            <w:tcW w:w="1740"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pStyle w:val="139"/>
              <w:spacing w:before="68" w:line="219" w:lineRule="auto"/>
              <w:ind w:left="639"/>
              <w:rPr>
                <w:highlight w:val="none"/>
              </w:rPr>
            </w:pPr>
            <w:r>
              <w:rPr>
                <w:spacing w:val="-2"/>
                <w:highlight w:val="none"/>
              </w:rPr>
              <w:t>投标报价</w:t>
            </w:r>
          </w:p>
        </w:tc>
        <w:tc>
          <w:tcPr>
            <w:tcW w:w="1060" w:type="dxa"/>
            <w:vAlign w:val="top"/>
          </w:tcPr>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pStyle w:val="139"/>
              <w:spacing w:before="68" w:line="182" w:lineRule="auto"/>
              <w:ind w:left="429"/>
              <w:rPr>
                <w:highlight w:val="none"/>
              </w:rPr>
            </w:pPr>
            <w:r>
              <w:rPr>
                <w:rFonts w:hint="eastAsia"/>
                <w:spacing w:val="-2"/>
                <w:highlight w:val="none"/>
                <w:lang w:val="en-US" w:eastAsia="zh-CN"/>
              </w:rPr>
              <w:t>55</w:t>
            </w:r>
            <w:r>
              <w:rPr>
                <w:spacing w:val="-2"/>
                <w:highlight w:val="none"/>
              </w:rPr>
              <w:t>.0</w:t>
            </w:r>
          </w:p>
        </w:tc>
        <w:tc>
          <w:tcPr>
            <w:tcW w:w="5250" w:type="dxa"/>
            <w:vAlign w:val="top"/>
          </w:tcPr>
          <w:p>
            <w:pPr>
              <w:keepNext w:val="0"/>
              <w:keepLines w:val="0"/>
              <w:widowControl/>
              <w:numPr>
                <w:ilvl w:val="0"/>
                <w:numId w:val="0"/>
              </w:numPr>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000000"/>
                <w:kern w:val="0"/>
                <w:sz w:val="21"/>
                <w:szCs w:val="21"/>
                <w:lang w:val="en-US" w:eastAsia="zh-CN" w:bidi="ar"/>
              </w:rPr>
              <w:t>本次评标采用综合评估法。评标委员会对满足招标文件实质性要求的投标文件，按照招标文件规定的评分标准进行打分，并按得分由高到低顺序推荐中标候选人（</w:t>
            </w:r>
            <w:r>
              <w:rPr>
                <w:rStyle w:val="40"/>
                <w:rFonts w:hint="eastAsia" w:ascii="宋体" w:hAnsi="宋体" w:eastAsia="宋体" w:cs="宋体"/>
                <w:b w:val="0"/>
                <w:spacing w:val="0"/>
                <w:w w:val="100"/>
                <w:sz w:val="21"/>
                <w:szCs w:val="24"/>
                <w:highlight w:val="none"/>
                <w:lang w:eastAsia="zh-CN"/>
              </w:rPr>
              <w:t>当投标人的报价低于最高限价的 80%，可能低于实际成本， 影响合同履行的，应当要求投标人在1小时内做出书面说明并提供相应的证明材料。 投标人未能在规定的时间内做出书面合理说明或者未能提供相应的证明材料的，评标委员会应当判定为以低于成本报价竞标，并否决其投标。</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lang w:val="en-US" w:eastAsia="zh-CN" w:bidi="ar"/>
              </w:rPr>
              <w:t>。综合评分相等时，以投标报价低的优先；投标报价也相等的，以资质等级高的优先；资质等级相同的以信用等级高的优先；若信用等级也</w:t>
            </w:r>
            <w:r>
              <w:rPr>
                <w:rFonts w:hint="eastAsia" w:ascii="宋体" w:hAnsi="宋体" w:eastAsia="宋体" w:cs="宋体"/>
                <w:color w:val="auto"/>
                <w:kern w:val="0"/>
                <w:sz w:val="21"/>
                <w:szCs w:val="21"/>
                <w:lang w:val="en-US" w:eastAsia="zh-CN" w:bidi="ar"/>
              </w:rPr>
              <w:t>相同，以注册资本金高的优先。</w:t>
            </w:r>
          </w:p>
          <w:p>
            <w:pPr>
              <w:keepNext w:val="0"/>
              <w:keepLines w:val="0"/>
              <w:widowControl/>
              <w:numPr>
                <w:ilvl w:val="0"/>
                <w:numId w:val="4"/>
              </w:numPr>
              <w:suppressLineNumbers w:val="0"/>
              <w:ind w:left="0" w:leftChars="0" w:firstLine="0" w:firstLineChars="0"/>
              <w:jc w:val="left"/>
              <w:rPr>
                <w:color w:val="auto"/>
                <w:spacing w:val="-4"/>
                <w:position w:val="15"/>
              </w:rPr>
            </w:pPr>
            <w:r>
              <w:rPr>
                <w:color w:val="auto"/>
                <w:spacing w:val="-4"/>
                <w:position w:val="15"/>
              </w:rPr>
              <w:t>投标价得分计算公式：</w:t>
            </w:r>
          </w:p>
          <w:p>
            <w:pPr>
              <w:keepNext w:val="0"/>
              <w:keepLines w:val="0"/>
              <w:widowControl/>
              <w:numPr>
                <w:ilvl w:val="0"/>
                <w:numId w:val="0"/>
              </w:numPr>
              <w:suppressLineNumbers w:val="0"/>
              <w:ind w:leftChars="0" w:firstLine="420" w:firstLineChars="200"/>
              <w:jc w:val="left"/>
              <w:rPr>
                <w:color w:val="auto"/>
              </w:rPr>
            </w:pPr>
            <w:r>
              <w:rPr>
                <w:rFonts w:hint="default" w:ascii="Calibri" w:hAnsi="Calibri" w:eastAsia="宋体" w:cs="Calibri"/>
                <w:color w:val="auto"/>
                <w:kern w:val="0"/>
                <w:sz w:val="21"/>
                <w:szCs w:val="21"/>
                <w:lang w:val="en-US" w:eastAsia="zh-CN" w:bidi="ar"/>
              </w:rPr>
              <w:t>B=F-(</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D1-D</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 xml:space="preserve">/ D)×100×E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式中： </w:t>
            </w:r>
            <w:r>
              <w:rPr>
                <w:rFonts w:hint="default" w:ascii="Calibri" w:hAnsi="Calibri" w:eastAsia="宋体" w:cs="Calibri"/>
                <w:color w:val="auto"/>
                <w:kern w:val="0"/>
                <w:sz w:val="21"/>
                <w:szCs w:val="21"/>
                <w:lang w:val="en-US" w:eastAsia="zh-CN" w:bidi="ar"/>
              </w:rPr>
              <w:t>D=</w:t>
            </w:r>
            <w:r>
              <w:rPr>
                <w:rFonts w:hint="eastAsia" w:ascii="宋体" w:hAnsi="宋体" w:eastAsia="宋体" w:cs="宋体"/>
                <w:color w:val="auto"/>
                <w:kern w:val="0"/>
                <w:sz w:val="21"/>
                <w:szCs w:val="21"/>
                <w:lang w:val="en-US" w:eastAsia="zh-CN" w:bidi="ar"/>
              </w:rPr>
              <w:t xml:space="preserve">评标基准价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D1=</w:t>
            </w:r>
            <w:r>
              <w:rPr>
                <w:rFonts w:hint="eastAsia" w:ascii="宋体" w:hAnsi="宋体" w:eastAsia="宋体" w:cs="宋体"/>
                <w:color w:val="auto"/>
                <w:kern w:val="0"/>
                <w:sz w:val="21"/>
                <w:szCs w:val="21"/>
                <w:lang w:val="en-US" w:eastAsia="zh-CN" w:bidi="ar"/>
              </w:rPr>
              <w:t xml:space="preserve">评标价，即有效报价经算术错误修正、非实质性偏离给招标人带来的费用增加等其他因素调整后的价格。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F=</w:t>
            </w:r>
            <w:r>
              <w:rPr>
                <w:rFonts w:hint="eastAsia" w:ascii="宋体" w:hAnsi="宋体" w:eastAsia="宋体" w:cs="宋体"/>
                <w:color w:val="auto"/>
                <w:kern w:val="0"/>
                <w:sz w:val="21"/>
                <w:szCs w:val="21"/>
                <w:lang w:val="en-US" w:eastAsia="zh-CN" w:bidi="ar"/>
              </w:rPr>
              <w:t xml:space="preserve">投标价分值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B=</w:t>
            </w:r>
            <w:r>
              <w:rPr>
                <w:rFonts w:hint="eastAsia" w:ascii="宋体" w:hAnsi="宋体" w:eastAsia="宋体" w:cs="宋体"/>
                <w:color w:val="auto"/>
                <w:kern w:val="0"/>
                <w:sz w:val="21"/>
                <w:szCs w:val="21"/>
                <w:lang w:val="en-US" w:eastAsia="zh-CN" w:bidi="ar"/>
              </w:rPr>
              <w:t>投标价得分</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当 </w:t>
            </w:r>
            <w:r>
              <w:rPr>
                <w:rFonts w:hint="default" w:ascii="Calibri" w:hAnsi="Calibri" w:eastAsia="宋体" w:cs="Calibri"/>
                <w:color w:val="auto"/>
                <w:kern w:val="0"/>
                <w:sz w:val="21"/>
                <w:szCs w:val="21"/>
                <w:lang w:val="en-US" w:eastAsia="zh-CN" w:bidi="ar"/>
              </w:rPr>
              <w:t xml:space="preserve">B&lt;0 </w:t>
            </w:r>
            <w:r>
              <w:rPr>
                <w:rFonts w:hint="eastAsia" w:ascii="宋体" w:hAnsi="宋体" w:eastAsia="宋体" w:cs="宋体"/>
                <w:color w:val="auto"/>
                <w:kern w:val="0"/>
                <w:sz w:val="21"/>
                <w:szCs w:val="21"/>
                <w:lang w:val="en-US" w:eastAsia="zh-CN" w:bidi="ar"/>
              </w:rPr>
              <w:t xml:space="preserve">时， </w:t>
            </w:r>
            <w:r>
              <w:rPr>
                <w:rFonts w:hint="default" w:ascii="Calibri" w:hAnsi="Calibri" w:eastAsia="宋体" w:cs="Calibri"/>
                <w:color w:val="auto"/>
                <w:kern w:val="0"/>
                <w:sz w:val="21"/>
                <w:szCs w:val="21"/>
                <w:lang w:val="en-US" w:eastAsia="zh-CN" w:bidi="ar"/>
              </w:rPr>
              <w:t xml:space="preserve">B=0)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E=</w:t>
            </w:r>
            <w:r>
              <w:rPr>
                <w:rFonts w:hint="eastAsia" w:ascii="宋体" w:hAnsi="宋体" w:eastAsia="宋体" w:cs="宋体"/>
                <w:color w:val="auto"/>
                <w:kern w:val="0"/>
                <w:sz w:val="21"/>
                <w:szCs w:val="21"/>
                <w:lang w:val="en-US" w:eastAsia="zh-CN" w:bidi="ar"/>
              </w:rPr>
              <w:t xml:space="preserve">减分系数，即评标价格高于或低于评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标基准价一个百分点应该扣除的分值。 </w:t>
            </w:r>
          </w:p>
          <w:p>
            <w:pPr>
              <w:keepNext w:val="0"/>
              <w:keepLines w:val="0"/>
              <w:widowControl/>
              <w:suppressLineNumbers w:val="0"/>
              <w:jc w:val="left"/>
              <w:rPr>
                <w:color w:val="auto"/>
              </w:rPr>
            </w:pPr>
            <w:r>
              <w:rPr>
                <w:rFonts w:hint="default" w:ascii="Calibri" w:hAnsi="Calibri" w:eastAsia="宋体" w:cs="Calibri"/>
                <w:color w:val="auto"/>
                <w:kern w:val="0"/>
                <w:sz w:val="21"/>
                <w:szCs w:val="21"/>
                <w:lang w:val="en-US" w:eastAsia="zh-CN" w:bidi="ar"/>
              </w:rPr>
              <w:t xml:space="preserve">D1≥D </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E=0.3</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 xml:space="preserve">D1&lt;D </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 xml:space="preserve">E=0.2 </w:t>
            </w:r>
          </w:p>
          <w:p>
            <w:pPr>
              <w:keepNext w:val="0"/>
              <w:keepLines w:val="0"/>
              <w:widowControl/>
              <w:numPr>
                <w:ilvl w:val="0"/>
                <w:numId w:val="4"/>
              </w:numPr>
              <w:suppressLineNumbers w:val="0"/>
              <w:ind w:left="0" w:leftChars="0" w:firstLine="0" w:firstLineChars="0"/>
              <w:jc w:val="left"/>
              <w:rPr>
                <w:rFonts w:hint="eastAsia" w:ascii="宋体" w:hAnsi="宋体" w:eastAsia="宋体" w:cs="宋体"/>
                <w:color w:val="0000FF"/>
                <w:kern w:val="0"/>
                <w:sz w:val="21"/>
                <w:szCs w:val="21"/>
                <w:lang w:val="en-US" w:eastAsia="zh-CN" w:bidi="ar"/>
              </w:rPr>
            </w:pPr>
            <w:r>
              <w:rPr>
                <w:rFonts w:hint="eastAsia" w:ascii="宋体" w:hAnsi="宋体" w:eastAsia="宋体" w:cs="宋体"/>
                <w:color w:val="auto"/>
                <w:kern w:val="0"/>
                <w:sz w:val="21"/>
                <w:szCs w:val="21"/>
                <w:lang w:val="en-US" w:eastAsia="zh-CN" w:bidi="ar"/>
              </w:rPr>
              <w:t>评标价：有效报价经算术错误修正、非实质性偏离给招标人带来的费用增加等其他因素调整后的价格。</w:t>
            </w:r>
            <w:r>
              <w:rPr>
                <w:rFonts w:hint="eastAsia" w:ascii="宋体" w:hAnsi="宋体" w:eastAsia="宋体" w:cs="宋体"/>
                <w:color w:val="0000FF"/>
                <w:kern w:val="0"/>
                <w:sz w:val="21"/>
                <w:szCs w:val="21"/>
                <w:lang w:val="en-US" w:eastAsia="zh-CN" w:bidi="ar"/>
              </w:rPr>
              <w:t xml:space="preserve"> </w:t>
            </w:r>
          </w:p>
          <w:p>
            <w:pPr>
              <w:keepNext w:val="0"/>
              <w:keepLines w:val="0"/>
              <w:widowControl/>
              <w:numPr>
                <w:ilvl w:val="0"/>
                <w:numId w:val="4"/>
              </w:numPr>
              <w:suppressLineNumbers w:val="0"/>
              <w:jc w:val="left"/>
              <w:rPr>
                <w:rFonts w:hint="eastAsia" w:ascii="宋体" w:hAnsi="宋体" w:eastAsia="宋体" w:cs="宋体"/>
                <w:color w:val="0000FF"/>
                <w:kern w:val="0"/>
                <w:sz w:val="21"/>
                <w:szCs w:val="21"/>
                <w:lang w:val="en-US" w:eastAsia="zh-CN" w:bidi="ar"/>
              </w:rPr>
            </w:pPr>
            <w:r>
              <w:rPr>
                <w:spacing w:val="-2"/>
                <w:highlight w:val="none"/>
              </w:rPr>
              <w:t>经评审合格的投标人超过</w:t>
            </w:r>
            <w:r>
              <w:rPr>
                <w:spacing w:val="-42"/>
                <w:highlight w:val="none"/>
              </w:rPr>
              <w:t xml:space="preserve"> </w:t>
            </w:r>
            <w:r>
              <w:rPr>
                <w:spacing w:val="-2"/>
                <w:highlight w:val="none"/>
              </w:rPr>
              <w:t>5</w:t>
            </w:r>
            <w:r>
              <w:rPr>
                <w:spacing w:val="-43"/>
                <w:highlight w:val="none"/>
              </w:rPr>
              <w:t xml:space="preserve"> </w:t>
            </w:r>
            <w:r>
              <w:rPr>
                <w:spacing w:val="-2"/>
                <w:highlight w:val="none"/>
              </w:rPr>
              <w:t>家（含</w:t>
            </w:r>
            <w:r>
              <w:rPr>
                <w:highlight w:val="none"/>
              </w:rPr>
              <w:t xml:space="preserve"> </w:t>
            </w:r>
            <w:r>
              <w:rPr>
                <w:spacing w:val="-11"/>
                <w:highlight w:val="none"/>
              </w:rPr>
              <w:t>5</w:t>
            </w:r>
            <w:r>
              <w:rPr>
                <w:spacing w:val="-43"/>
                <w:highlight w:val="none"/>
              </w:rPr>
              <w:t xml:space="preserve"> </w:t>
            </w:r>
            <w:r>
              <w:rPr>
                <w:spacing w:val="-11"/>
                <w:highlight w:val="none"/>
              </w:rPr>
              <w:t>家） 以上时，</w:t>
            </w:r>
            <w:r>
              <w:rPr>
                <w:spacing w:val="-20"/>
                <w:highlight w:val="none"/>
              </w:rPr>
              <w:t xml:space="preserve"> </w:t>
            </w:r>
            <w:r>
              <w:rPr>
                <w:spacing w:val="-11"/>
                <w:highlight w:val="none"/>
              </w:rPr>
              <w:t>去掉一个最高报价</w:t>
            </w:r>
            <w:r>
              <w:rPr>
                <w:spacing w:val="-1"/>
                <w:highlight w:val="none"/>
              </w:rPr>
              <w:t>和一个最低报价（只在计算评标基</w:t>
            </w:r>
            <w:r>
              <w:rPr>
                <w:spacing w:val="-6"/>
                <w:highlight w:val="none"/>
              </w:rPr>
              <w:t>准时去掉）</w:t>
            </w:r>
            <w:r>
              <w:rPr>
                <w:spacing w:val="-18"/>
                <w:highlight w:val="none"/>
              </w:rPr>
              <w:t xml:space="preserve"> </w:t>
            </w:r>
            <w:r>
              <w:rPr>
                <w:spacing w:val="-6"/>
                <w:highlight w:val="none"/>
              </w:rPr>
              <w:t>的算数平均值作为评标基准；经评审合格的投标人少于</w:t>
            </w:r>
            <w:r>
              <w:rPr>
                <w:spacing w:val="-37"/>
                <w:highlight w:val="none"/>
              </w:rPr>
              <w:t xml:space="preserve"> </w:t>
            </w:r>
            <w:r>
              <w:rPr>
                <w:spacing w:val="-6"/>
                <w:highlight w:val="none"/>
              </w:rPr>
              <w:t>5</w:t>
            </w:r>
            <w:r>
              <w:rPr>
                <w:highlight w:val="none"/>
              </w:rPr>
              <w:t xml:space="preserve"> </w:t>
            </w:r>
            <w:r>
              <w:rPr>
                <w:spacing w:val="-9"/>
                <w:highlight w:val="none"/>
              </w:rPr>
              <w:t>家时，以各投标人投标报价的平均</w:t>
            </w:r>
            <w:r>
              <w:rPr>
                <w:spacing w:val="-1"/>
                <w:highlight w:val="none"/>
              </w:rPr>
              <w:t>值作为评标基准。</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w:t>
            </w:r>
            <w:r>
              <w:rPr>
                <w:rFonts w:hint="default" w:ascii="Calibri" w:hAnsi="Calibri" w:eastAsia="宋体" w:cs="Calibri"/>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评标价等于评标基准价时得满分 </w:t>
            </w:r>
            <w:r>
              <w:rPr>
                <w:rFonts w:hint="eastAsia" w:eastAsia="宋体" w:cs="Calibri"/>
                <w:color w:val="000000"/>
                <w:kern w:val="0"/>
                <w:sz w:val="21"/>
                <w:szCs w:val="21"/>
                <w:highlight w:val="none"/>
                <w:lang w:val="en-US" w:eastAsia="zh-CN" w:bidi="ar"/>
              </w:rPr>
              <w:t>55</w:t>
            </w:r>
            <w:r>
              <w:rPr>
                <w:rFonts w:hint="eastAsia" w:ascii="宋体" w:hAnsi="宋体" w:eastAsia="宋体" w:cs="宋体"/>
                <w:color w:val="000000"/>
                <w:kern w:val="0"/>
                <w:sz w:val="21"/>
                <w:szCs w:val="21"/>
                <w:highlight w:val="none"/>
                <w:lang w:val="en-US" w:eastAsia="zh-CN" w:bidi="ar"/>
              </w:rPr>
              <w:t xml:space="preserve">分；评标价每高于评标基准价 </w:t>
            </w:r>
            <w:r>
              <w:rPr>
                <w:rFonts w:hint="default" w:ascii="Calibri" w:hAnsi="Calibri" w:eastAsia="宋体" w:cs="Calibri"/>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，在满分的基础上扣 </w:t>
            </w:r>
            <w:r>
              <w:rPr>
                <w:rFonts w:hint="default" w:ascii="Calibri" w:hAnsi="Calibri" w:eastAsia="宋体" w:cs="Calibri"/>
                <w:color w:val="000000"/>
                <w:kern w:val="0"/>
                <w:sz w:val="21"/>
                <w:szCs w:val="21"/>
                <w:highlight w:val="none"/>
                <w:lang w:val="en-US" w:eastAsia="zh-CN" w:bidi="ar"/>
              </w:rPr>
              <w:t xml:space="preserve">0.3 </w:t>
            </w:r>
            <w:r>
              <w:rPr>
                <w:rFonts w:hint="eastAsia" w:ascii="宋体" w:hAnsi="宋体" w:eastAsia="宋体" w:cs="宋体"/>
                <w:color w:val="000000"/>
                <w:kern w:val="0"/>
                <w:sz w:val="21"/>
                <w:szCs w:val="21"/>
                <w:highlight w:val="none"/>
                <w:lang w:val="en-US" w:eastAsia="zh-CN" w:bidi="ar"/>
              </w:rPr>
              <w:t>分</w:t>
            </w:r>
            <w:r>
              <w:rPr>
                <w:rFonts w:hint="eastAsia" w:ascii="宋体" w:hAnsi="宋体" w:eastAsia="宋体" w:cs="宋体"/>
                <w:color w:val="000000"/>
                <w:kern w:val="0"/>
                <w:sz w:val="21"/>
                <w:szCs w:val="21"/>
                <w:lang w:val="en-US" w:eastAsia="zh-CN" w:bidi="ar"/>
              </w:rPr>
              <w:t xml:space="preserve">；评标价每低于评标基准价 </w:t>
            </w:r>
            <w:r>
              <w:rPr>
                <w:rFonts w:hint="default" w:ascii="Calibri" w:hAnsi="Calibri" w:eastAsia="宋体" w:cs="Calibri"/>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，在满分的基础上扣 </w:t>
            </w:r>
            <w:r>
              <w:rPr>
                <w:rFonts w:hint="default" w:ascii="Calibri" w:hAnsi="Calibri" w:eastAsia="宋体" w:cs="Calibri"/>
                <w:color w:val="000000"/>
                <w:kern w:val="0"/>
                <w:sz w:val="21"/>
                <w:szCs w:val="21"/>
                <w:lang w:val="en-US" w:eastAsia="zh-CN" w:bidi="ar"/>
              </w:rPr>
              <w:t xml:space="preserve">0.2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分。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不足</w:t>
            </w:r>
            <w:r>
              <w:rPr>
                <w:rFonts w:hint="default" w:ascii="Calibri" w:hAnsi="Calibri" w:eastAsia="宋体" w:cs="Calibri"/>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时按内插法计算。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投标报价得分最低为 </w:t>
            </w:r>
            <w:r>
              <w:rPr>
                <w:rFonts w:hint="default" w:ascii="Calibri" w:hAnsi="Calibri" w:eastAsia="宋体" w:cs="Calibri"/>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 </w:t>
            </w:r>
          </w:p>
          <w:p>
            <w:pPr>
              <w:pStyle w:val="139"/>
              <w:spacing w:before="153" w:line="268" w:lineRule="auto"/>
              <w:ind w:left="113" w:right="103" w:firstLine="4"/>
              <w:jc w:val="both"/>
              <w:rPr>
                <w:highlight w:val="none"/>
              </w:rPr>
            </w:pPr>
            <w:r>
              <w:rPr>
                <w:rFonts w:hint="eastAsia" w:ascii="宋体" w:hAnsi="宋体" w:eastAsia="宋体" w:cs="宋体"/>
                <w:color w:val="000000"/>
                <w:kern w:val="0"/>
                <w:sz w:val="21"/>
                <w:szCs w:val="21"/>
                <w:lang w:val="en-US" w:eastAsia="zh-CN" w:bidi="ar"/>
              </w:rPr>
              <w:t>（投标报价得分，保留小数点后二位有效数字，小数点后第三位</w:t>
            </w:r>
            <w:r>
              <w:rPr>
                <w:rFonts w:hint="default" w:ascii="Calibri" w:hAnsi="Calibri" w:eastAsia="宋体" w:cs="Calibri"/>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四舍五入</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p>
        </w:tc>
        <w:tc>
          <w:tcPr>
            <w:tcW w:w="697" w:type="dxa"/>
            <w:vAlign w:val="top"/>
          </w:tcPr>
          <w:p>
            <w:pPr>
              <w:rPr>
                <w:rFonts w:ascii="Arial"/>
                <w:sz w:val="21"/>
                <w:highlight w:val="none"/>
              </w:rPr>
            </w:pPr>
          </w:p>
        </w:tc>
      </w:tr>
    </w:tbl>
    <w:p>
      <w:pPr>
        <w:pStyle w:val="15"/>
      </w:pPr>
    </w:p>
    <w:tbl>
      <w:tblPr>
        <w:tblStyle w:val="140"/>
        <w:tblW w:w="9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750"/>
        <w:gridCol w:w="1000"/>
        <w:gridCol w:w="5020"/>
        <w:gridCol w:w="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39" w:type="dxa"/>
            <w:vAlign w:val="top"/>
          </w:tcPr>
          <w:p>
            <w:pPr>
              <w:pStyle w:val="139"/>
              <w:spacing w:before="149" w:line="222" w:lineRule="auto"/>
              <w:ind w:left="427"/>
              <w:rPr>
                <w:highlight w:val="none"/>
              </w:rPr>
            </w:pPr>
            <w:r>
              <w:rPr>
                <w:spacing w:val="-2"/>
                <w:highlight w:val="none"/>
              </w:rPr>
              <w:t>序号</w:t>
            </w:r>
          </w:p>
        </w:tc>
        <w:tc>
          <w:tcPr>
            <w:tcW w:w="1750" w:type="dxa"/>
            <w:vAlign w:val="top"/>
          </w:tcPr>
          <w:p>
            <w:pPr>
              <w:pStyle w:val="139"/>
              <w:spacing w:before="149" w:line="221" w:lineRule="auto"/>
              <w:ind w:left="636"/>
              <w:rPr>
                <w:highlight w:val="none"/>
              </w:rPr>
            </w:pPr>
            <w:r>
              <w:rPr>
                <w:spacing w:val="-1"/>
                <w:highlight w:val="none"/>
              </w:rPr>
              <w:t>评分因素</w:t>
            </w:r>
          </w:p>
        </w:tc>
        <w:tc>
          <w:tcPr>
            <w:tcW w:w="1000" w:type="dxa"/>
            <w:vAlign w:val="top"/>
          </w:tcPr>
          <w:p>
            <w:pPr>
              <w:pStyle w:val="139"/>
              <w:spacing w:before="149" w:line="221" w:lineRule="auto"/>
              <w:ind w:left="429"/>
              <w:rPr>
                <w:highlight w:val="none"/>
              </w:rPr>
            </w:pPr>
            <w:r>
              <w:rPr>
                <w:spacing w:val="-3"/>
                <w:highlight w:val="none"/>
              </w:rPr>
              <w:t>分值</w:t>
            </w:r>
          </w:p>
        </w:tc>
        <w:tc>
          <w:tcPr>
            <w:tcW w:w="5020" w:type="dxa"/>
            <w:vAlign w:val="top"/>
          </w:tcPr>
          <w:p>
            <w:pPr>
              <w:pStyle w:val="139"/>
              <w:spacing w:before="149" w:line="221" w:lineRule="auto"/>
              <w:ind w:left="1270"/>
              <w:rPr>
                <w:highlight w:val="none"/>
              </w:rPr>
            </w:pPr>
            <w:r>
              <w:rPr>
                <w:spacing w:val="-1"/>
                <w:highlight w:val="none"/>
              </w:rPr>
              <w:t>评分标准</w:t>
            </w:r>
          </w:p>
        </w:tc>
        <w:tc>
          <w:tcPr>
            <w:tcW w:w="952" w:type="dxa"/>
            <w:vAlign w:val="top"/>
          </w:tcPr>
          <w:p>
            <w:pPr>
              <w:pStyle w:val="139"/>
              <w:spacing w:before="149" w:line="221" w:lineRule="auto"/>
              <w:ind w:left="432"/>
              <w:rPr>
                <w:highlight w:val="none"/>
              </w:rPr>
            </w:pPr>
            <w:r>
              <w:rPr>
                <w:spacing w:val="-2"/>
                <w:highlight w:val="none"/>
              </w:rPr>
              <w:t>赋分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39" w:type="dxa"/>
            <w:vAlign w:val="top"/>
          </w:tcPr>
          <w:p>
            <w:pPr>
              <w:pStyle w:val="139"/>
              <w:spacing w:before="150" w:line="223" w:lineRule="auto"/>
              <w:ind w:left="553"/>
              <w:rPr>
                <w:highlight w:val="none"/>
              </w:rPr>
            </w:pPr>
            <w:r>
              <w:rPr>
                <w:highlight w:val="none"/>
              </w:rPr>
              <w:t>四</w:t>
            </w:r>
          </w:p>
        </w:tc>
        <w:tc>
          <w:tcPr>
            <w:tcW w:w="1750" w:type="dxa"/>
            <w:vAlign w:val="top"/>
          </w:tcPr>
          <w:p>
            <w:pPr>
              <w:pStyle w:val="139"/>
              <w:spacing w:before="149" w:line="221" w:lineRule="auto"/>
              <w:ind w:left="429"/>
              <w:rPr>
                <w:highlight w:val="none"/>
              </w:rPr>
            </w:pPr>
            <w:r>
              <w:rPr>
                <w:spacing w:val="-1"/>
                <w:highlight w:val="none"/>
              </w:rPr>
              <w:t>其他评分因素</w:t>
            </w:r>
          </w:p>
        </w:tc>
        <w:tc>
          <w:tcPr>
            <w:tcW w:w="1000" w:type="dxa"/>
            <w:vAlign w:val="top"/>
          </w:tcPr>
          <w:p>
            <w:pPr>
              <w:rPr>
                <w:rFonts w:ascii="Arial"/>
                <w:sz w:val="21"/>
                <w:highlight w:val="none"/>
              </w:rPr>
            </w:pPr>
          </w:p>
        </w:tc>
        <w:tc>
          <w:tcPr>
            <w:tcW w:w="5020" w:type="dxa"/>
            <w:vAlign w:val="top"/>
          </w:tcPr>
          <w:p>
            <w:pPr>
              <w:rPr>
                <w:rFonts w:ascii="Arial"/>
                <w:sz w:val="21"/>
                <w:highlight w:val="none"/>
              </w:rPr>
            </w:pPr>
          </w:p>
        </w:tc>
        <w:tc>
          <w:tcPr>
            <w:tcW w:w="9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39" w:type="dxa"/>
            <w:vAlign w:val="top"/>
          </w:tcPr>
          <w:p>
            <w:pPr>
              <w:spacing w:line="430" w:lineRule="auto"/>
              <w:jc w:val="center"/>
              <w:rPr>
                <w:rFonts w:hint="eastAsia" w:ascii="宋体" w:hAnsi="宋体" w:eastAsia="宋体" w:cs="宋体"/>
                <w:sz w:val="24"/>
                <w:szCs w:val="24"/>
                <w:highlight w:val="none"/>
                <w:lang w:val="en-US" w:eastAsia="zh-CN"/>
              </w:rPr>
            </w:pPr>
          </w:p>
          <w:p>
            <w:pPr>
              <w:spacing w:line="430" w:lineRule="auto"/>
              <w:jc w:val="both"/>
              <w:rPr>
                <w:rFonts w:hint="eastAsia" w:ascii="宋体" w:hAnsi="宋体" w:eastAsia="宋体" w:cs="宋体"/>
                <w:sz w:val="24"/>
                <w:szCs w:val="24"/>
                <w:highlight w:val="none"/>
                <w:lang w:val="en-US" w:eastAsia="zh-CN"/>
              </w:rPr>
            </w:pPr>
          </w:p>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750" w:type="dxa"/>
            <w:vAlign w:val="center"/>
          </w:tcPr>
          <w:p>
            <w:pPr>
              <w:spacing w:line="284" w:lineRule="auto"/>
              <w:jc w:val="both"/>
              <w:rPr>
                <w:rFonts w:ascii="Arial"/>
                <w:sz w:val="21"/>
                <w:highlight w:val="none"/>
              </w:rPr>
            </w:pPr>
          </w:p>
          <w:p>
            <w:pPr>
              <w:spacing w:line="285" w:lineRule="auto"/>
              <w:jc w:val="center"/>
              <w:rPr>
                <w:rFonts w:ascii="Arial"/>
                <w:sz w:val="21"/>
                <w:highlight w:val="none"/>
              </w:rPr>
            </w:pPr>
          </w:p>
          <w:p>
            <w:pPr>
              <w:pStyle w:val="139"/>
              <w:spacing w:before="69" w:line="221" w:lineRule="auto"/>
              <w:ind w:left="327"/>
              <w:jc w:val="center"/>
              <w:rPr>
                <w:rFonts w:hint="eastAsia" w:eastAsia="宋体"/>
                <w:highlight w:val="none"/>
                <w:lang w:eastAsia="zh-CN"/>
              </w:rPr>
            </w:pPr>
            <w:r>
              <w:rPr>
                <w:rFonts w:hint="eastAsia"/>
                <w:spacing w:val="-2"/>
                <w:highlight w:val="none"/>
                <w:lang w:eastAsia="zh-CN"/>
              </w:rPr>
              <w:t>企业业绩</w:t>
            </w:r>
          </w:p>
        </w:tc>
        <w:tc>
          <w:tcPr>
            <w:tcW w:w="1000" w:type="dxa"/>
            <w:vAlign w:val="center"/>
          </w:tcPr>
          <w:p>
            <w:pPr>
              <w:spacing w:line="296" w:lineRule="auto"/>
              <w:jc w:val="center"/>
              <w:rPr>
                <w:rFonts w:ascii="Arial"/>
                <w:sz w:val="21"/>
                <w:highlight w:val="none"/>
              </w:rPr>
            </w:pPr>
          </w:p>
          <w:p>
            <w:pPr>
              <w:spacing w:line="297" w:lineRule="auto"/>
              <w:jc w:val="both"/>
              <w:rPr>
                <w:rFonts w:ascii="Arial"/>
                <w:sz w:val="21"/>
                <w:highlight w:val="none"/>
              </w:rPr>
            </w:pPr>
          </w:p>
          <w:p>
            <w:pPr>
              <w:pStyle w:val="139"/>
              <w:spacing w:before="68" w:line="182" w:lineRule="auto"/>
              <w:jc w:val="center"/>
              <w:rPr>
                <w:highlight w:val="none"/>
              </w:rPr>
            </w:pPr>
            <w:r>
              <w:rPr>
                <w:rFonts w:hint="eastAsia"/>
                <w:spacing w:val="-2"/>
                <w:highlight w:val="none"/>
                <w:lang w:val="en-US" w:eastAsia="zh-CN"/>
              </w:rPr>
              <w:t>2</w:t>
            </w:r>
            <w:r>
              <w:rPr>
                <w:spacing w:val="-2"/>
                <w:highlight w:val="none"/>
              </w:rPr>
              <w:t>.0</w:t>
            </w:r>
          </w:p>
        </w:tc>
        <w:tc>
          <w:tcPr>
            <w:tcW w:w="5020" w:type="dxa"/>
            <w:vAlign w:val="top"/>
          </w:tcPr>
          <w:p>
            <w:pPr>
              <w:shd w:val="clear" w:color="auto" w:fill="FFFFFF"/>
              <w:adjustRightInd w:val="0"/>
              <w:snapToGrid w:val="0"/>
              <w:spacing w:line="276" w:lineRule="auto"/>
              <w:jc w:val="left"/>
              <w:rPr>
                <w:rFonts w:hint="eastAsia" w:ascii="Times New Roman" w:hAnsi="Times New Roman" w:eastAsia="宋体" w:cs="Arial"/>
                <w:color w:val="auto"/>
                <w:highlight w:val="none"/>
              </w:rPr>
            </w:pPr>
            <w:r>
              <w:rPr>
                <w:rFonts w:hint="eastAsia" w:ascii="Times New Roman" w:hAnsi="Times New Roman" w:eastAsia="宋体" w:cs="Arial"/>
                <w:color w:val="auto"/>
                <w:highlight w:val="none"/>
              </w:rPr>
              <w:t>投标人（</w:t>
            </w:r>
            <w:r>
              <w:rPr>
                <w:rFonts w:hint="eastAsia" w:ascii="Times New Roman" w:hAnsi="Times New Roman" w:eastAsia="宋体" w:cs="Arial"/>
                <w:color w:val="auto"/>
                <w:highlight w:val="none"/>
                <w:lang w:eastAsia="zh-CN"/>
              </w:rPr>
              <w:t>20</w:t>
            </w:r>
            <w:r>
              <w:rPr>
                <w:rFonts w:hint="eastAsia" w:ascii="Times New Roman" w:hAnsi="Times New Roman" w:eastAsia="宋体" w:cs="Arial"/>
                <w:color w:val="auto"/>
                <w:highlight w:val="none"/>
                <w:lang w:val="en-US" w:eastAsia="zh-CN"/>
              </w:rPr>
              <w:t>19</w:t>
            </w:r>
            <w:r>
              <w:rPr>
                <w:rFonts w:hint="eastAsia" w:ascii="Times New Roman" w:hAnsi="Times New Roman" w:eastAsia="宋体" w:cs="Arial"/>
                <w:color w:val="auto"/>
                <w:highlight w:val="none"/>
                <w:lang w:eastAsia="zh-CN"/>
              </w:rPr>
              <w:t>年</w:t>
            </w:r>
            <w:r>
              <w:rPr>
                <w:rFonts w:hint="eastAsia" w:ascii="Times New Roman" w:hAnsi="Times New Roman" w:eastAsia="宋体" w:cs="Arial"/>
                <w:color w:val="auto"/>
                <w:highlight w:val="none"/>
              </w:rPr>
              <w:t>1月1日至今）每完成一项</w:t>
            </w:r>
            <w:r>
              <w:rPr>
                <w:rFonts w:hint="eastAsia" w:ascii="Times New Roman" w:hAnsi="Times New Roman" w:eastAsia="宋体" w:cs="Arial"/>
                <w:color w:val="auto"/>
                <w:highlight w:val="none"/>
                <w:lang w:val="en-US" w:eastAsia="zh-CN"/>
              </w:rPr>
              <w:t>等</w:t>
            </w:r>
            <w:r>
              <w:rPr>
                <w:rFonts w:hint="eastAsia" w:ascii="Times New Roman" w:hAnsi="Times New Roman" w:eastAsia="宋体" w:cs="Arial"/>
                <w:color w:val="auto"/>
                <w:highlight w:val="none"/>
                <w:lang w:eastAsia="zh-CN"/>
              </w:rPr>
              <w:t>类似项目</w:t>
            </w:r>
            <w:r>
              <w:rPr>
                <w:rFonts w:hint="eastAsia" w:ascii="Times New Roman" w:hAnsi="Times New Roman" w:eastAsia="宋体" w:cs="Arial"/>
                <w:color w:val="auto"/>
                <w:highlight w:val="none"/>
              </w:rPr>
              <w:t>业绩</w:t>
            </w:r>
            <w:r>
              <w:rPr>
                <w:rFonts w:hint="eastAsia" w:ascii="Times New Roman" w:hAnsi="Times New Roman" w:eastAsia="宋体" w:cs="Arial"/>
                <w:color w:val="auto"/>
                <w:highlight w:val="none"/>
                <w:lang w:eastAsia="zh-CN"/>
              </w:rPr>
              <w:t>得</w:t>
            </w:r>
            <w:r>
              <w:rPr>
                <w:rFonts w:hint="eastAsia" w:ascii="Times New Roman" w:hAnsi="Times New Roman" w:eastAsia="宋体" w:cs="Arial"/>
                <w:color w:val="auto"/>
                <w:highlight w:val="none"/>
                <w:lang w:val="en-US" w:eastAsia="zh-CN"/>
              </w:rPr>
              <w:t>1</w:t>
            </w:r>
            <w:r>
              <w:rPr>
                <w:rFonts w:hint="eastAsia" w:ascii="Times New Roman" w:hAnsi="Times New Roman" w:eastAsia="宋体" w:cs="Arial"/>
                <w:color w:val="auto"/>
                <w:highlight w:val="none"/>
              </w:rPr>
              <w:t>分，最多得</w:t>
            </w:r>
            <w:r>
              <w:rPr>
                <w:rFonts w:hint="eastAsia" w:ascii="Times New Roman" w:hAnsi="Times New Roman" w:eastAsia="宋体" w:cs="Arial"/>
                <w:color w:val="auto"/>
                <w:highlight w:val="none"/>
                <w:lang w:val="en-US" w:eastAsia="zh-CN"/>
              </w:rPr>
              <w:t>2</w:t>
            </w:r>
            <w:r>
              <w:rPr>
                <w:rFonts w:hint="eastAsia" w:ascii="Times New Roman" w:hAnsi="Times New Roman" w:eastAsia="宋体" w:cs="Arial"/>
                <w:color w:val="auto"/>
                <w:highlight w:val="none"/>
              </w:rPr>
              <w:t>分。</w:t>
            </w:r>
          </w:p>
          <w:p>
            <w:pPr>
              <w:keepNext w:val="0"/>
              <w:keepLines w:val="0"/>
              <w:widowControl/>
              <w:suppressLineNumbers w:val="0"/>
              <w:jc w:val="left"/>
              <w:rPr>
                <w:highlight w:val="none"/>
              </w:rPr>
            </w:pPr>
            <w:r>
              <w:rPr>
                <w:rFonts w:hint="eastAsia" w:ascii="Times New Roman" w:hAnsi="Times New Roman" w:eastAsia="宋体" w:cs="Arial"/>
                <w:color w:val="auto"/>
                <w:highlight w:val="none"/>
                <w:lang w:val="en-US" w:eastAsia="zh-CN"/>
              </w:rPr>
              <w:t>注：业绩评审以中标通知书、合同协议书及</w:t>
            </w:r>
            <w:r>
              <w:rPr>
                <w:rFonts w:hint="eastAsia" w:ascii="Times New Roman" w:hAnsi="Times New Roman" w:cs="Arial"/>
                <w:color w:val="auto"/>
                <w:highlight w:val="none"/>
                <w:lang w:val="en-US" w:eastAsia="zh-CN"/>
              </w:rPr>
              <w:t>工程</w:t>
            </w:r>
            <w:r>
              <w:rPr>
                <w:rFonts w:hint="eastAsia" w:ascii="Times New Roman" w:hAnsi="Times New Roman" w:eastAsia="宋体" w:cs="Arial"/>
                <w:color w:val="auto"/>
                <w:highlight w:val="none"/>
                <w:lang w:val="en-US" w:eastAsia="zh-CN"/>
              </w:rPr>
              <w:t>完工验收</w:t>
            </w:r>
            <w:r>
              <w:rPr>
                <w:rFonts w:hint="eastAsia" w:ascii="Times New Roman" w:hAnsi="Times New Roman" w:cs="Arial"/>
                <w:color w:val="auto"/>
                <w:highlight w:val="none"/>
                <w:lang w:val="en-US" w:eastAsia="zh-CN"/>
              </w:rPr>
              <w:t>证明</w:t>
            </w:r>
            <w:r>
              <w:rPr>
                <w:rFonts w:hint="eastAsia" w:ascii="Times New Roman" w:hAnsi="Times New Roman" w:eastAsia="宋体" w:cs="Arial"/>
                <w:color w:val="auto"/>
                <w:highlight w:val="none"/>
                <w:lang w:val="en-US" w:eastAsia="zh-CN"/>
              </w:rPr>
              <w:t>或竣工</w:t>
            </w:r>
            <w:r>
              <w:rPr>
                <w:rFonts w:hint="eastAsia" w:ascii="Times New Roman" w:hAnsi="Times New Roman" w:cs="Arial"/>
                <w:color w:val="auto"/>
                <w:highlight w:val="none"/>
                <w:lang w:val="en-US" w:eastAsia="zh-CN"/>
              </w:rPr>
              <w:t>验收报告</w:t>
            </w:r>
            <w:r>
              <w:rPr>
                <w:rFonts w:hint="eastAsia" w:ascii="Times New Roman" w:hAnsi="Times New Roman" w:eastAsia="宋体" w:cs="Arial"/>
                <w:color w:val="auto"/>
                <w:highlight w:val="none"/>
                <w:lang w:val="en-US" w:eastAsia="zh-CN"/>
              </w:rPr>
              <w:t>为准，上述资料复印件加盖公章。</w:t>
            </w:r>
            <w:r>
              <w:rPr>
                <w:rFonts w:hint="eastAsia" w:ascii="宋体" w:hAnsi="宋体" w:cs="宋体"/>
                <w:kern w:val="0"/>
                <w:szCs w:val="21"/>
                <w:highlight w:val="none"/>
                <w:lang w:val="zh-CN" w:bidi="zh-CN"/>
              </w:rPr>
              <w:t>在投标文件中还须提供业绩的网上中标公示截图及查询网址，</w:t>
            </w:r>
            <w:r>
              <w:rPr>
                <w:rFonts w:ascii="宋体" w:hAnsi="宋体" w:cs="宋体"/>
                <w:kern w:val="0"/>
                <w:szCs w:val="21"/>
                <w:highlight w:val="none"/>
                <w:lang w:val="zh-CN" w:bidi="zh-CN"/>
              </w:rPr>
              <w:t>且该业绩在全国水利建设市场监管服务平台进行备案</w:t>
            </w:r>
            <w:r>
              <w:rPr>
                <w:rFonts w:hint="eastAsia" w:ascii="宋体" w:hAnsi="宋体" w:cs="宋体"/>
                <w:kern w:val="0"/>
                <w:szCs w:val="21"/>
                <w:highlight w:val="none"/>
                <w:lang w:val="zh-CN" w:bidi="zh-CN"/>
              </w:rPr>
              <w:t>，提供</w:t>
            </w:r>
            <w:r>
              <w:rPr>
                <w:rFonts w:ascii="宋体" w:hAnsi="宋体" w:cs="宋体"/>
                <w:kern w:val="0"/>
                <w:szCs w:val="21"/>
                <w:highlight w:val="none"/>
                <w:lang w:val="zh-CN" w:bidi="zh-CN"/>
              </w:rPr>
              <w:t>备案业绩信息截图，</w:t>
            </w:r>
            <w:r>
              <w:rPr>
                <w:rFonts w:hint="eastAsia" w:ascii="宋体" w:hAnsi="宋体" w:cs="宋体"/>
                <w:kern w:val="0"/>
                <w:szCs w:val="21"/>
                <w:highlight w:val="none"/>
                <w:lang w:val="zh-CN" w:bidi="zh-CN"/>
              </w:rPr>
              <w:t>没有或上述资料不全不得分。</w:t>
            </w:r>
          </w:p>
        </w:tc>
        <w:tc>
          <w:tcPr>
            <w:tcW w:w="9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39" w:type="dxa"/>
            <w:vAlign w:val="top"/>
          </w:tcPr>
          <w:p>
            <w:pPr>
              <w:spacing w:line="430" w:lineRule="auto"/>
              <w:jc w:val="both"/>
              <w:rPr>
                <w:rFonts w:hint="eastAsia" w:ascii="宋体" w:hAnsi="宋体" w:eastAsia="宋体" w:cs="宋体"/>
                <w:sz w:val="24"/>
                <w:szCs w:val="24"/>
                <w:highlight w:val="none"/>
                <w:lang w:val="en-US" w:eastAsia="zh-CN"/>
              </w:rPr>
            </w:pPr>
          </w:p>
          <w:p>
            <w:pPr>
              <w:spacing w:line="430" w:lineRule="auto"/>
              <w:jc w:val="center"/>
              <w:rPr>
                <w:rFonts w:hint="eastAsia" w:ascii="宋体" w:hAnsi="宋体" w:eastAsia="宋体" w:cs="宋体"/>
                <w:sz w:val="24"/>
                <w:szCs w:val="24"/>
                <w:highlight w:val="none"/>
                <w:lang w:val="en-US" w:eastAsia="zh-CN"/>
              </w:rPr>
            </w:pPr>
          </w:p>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750" w:type="dxa"/>
            <w:vAlign w:val="center"/>
          </w:tcPr>
          <w:p>
            <w:pPr>
              <w:topLinePunct/>
              <w:spacing w:line="400" w:lineRule="exact"/>
              <w:jc w:val="center"/>
              <w:rPr>
                <w:rFonts w:hint="eastAsia" w:ascii="宋体" w:hAnsi="宋体" w:eastAsia="宋体" w:cs="宋体"/>
                <w:snapToGrid w:val="0"/>
                <w:color w:val="000000"/>
                <w:spacing w:val="-2"/>
                <w:kern w:val="0"/>
                <w:sz w:val="21"/>
                <w:szCs w:val="21"/>
                <w:highlight w:val="none"/>
                <w:lang w:val="zh-CN" w:eastAsia="zh-CN" w:bidi="ar-SA"/>
              </w:rPr>
            </w:pPr>
            <w:r>
              <w:rPr>
                <w:rFonts w:hint="eastAsia" w:ascii="宋体" w:hAnsi="宋体" w:eastAsia="宋体" w:cs="宋体"/>
                <w:snapToGrid w:val="0"/>
                <w:color w:val="000000"/>
                <w:spacing w:val="-2"/>
                <w:kern w:val="0"/>
                <w:sz w:val="21"/>
                <w:szCs w:val="21"/>
                <w:highlight w:val="none"/>
                <w:lang w:val="zh-CN" w:eastAsia="zh-CN" w:bidi="ar-SA"/>
              </w:rPr>
              <w:t>安全生产标准化</w:t>
            </w:r>
          </w:p>
          <w:p>
            <w:pPr>
              <w:topLinePunct/>
              <w:spacing w:line="400" w:lineRule="exact"/>
              <w:jc w:val="center"/>
              <w:rPr>
                <w:rFonts w:hint="eastAsia" w:ascii="宋体" w:hAnsi="宋体" w:eastAsia="宋体" w:cs="宋体"/>
                <w:snapToGrid w:val="0"/>
                <w:color w:val="000000"/>
                <w:spacing w:val="-2"/>
                <w:kern w:val="0"/>
                <w:sz w:val="21"/>
                <w:szCs w:val="21"/>
                <w:highlight w:val="none"/>
                <w:lang w:val="zh-CN" w:eastAsia="zh-CN" w:bidi="ar-SA"/>
              </w:rPr>
            </w:pPr>
          </w:p>
        </w:tc>
        <w:tc>
          <w:tcPr>
            <w:tcW w:w="1000" w:type="dxa"/>
            <w:vAlign w:val="center"/>
          </w:tcPr>
          <w:p>
            <w:pPr>
              <w:topLinePunct/>
              <w:spacing w:line="400" w:lineRule="exact"/>
              <w:jc w:val="center"/>
              <w:rPr>
                <w:rFonts w:hint="eastAsia" w:ascii="宋体" w:hAnsi="宋体" w:eastAsia="宋体" w:cs="宋体"/>
                <w:snapToGrid w:val="0"/>
                <w:color w:val="000000"/>
                <w:spacing w:val="-2"/>
                <w:kern w:val="0"/>
                <w:sz w:val="21"/>
                <w:szCs w:val="21"/>
                <w:highlight w:val="none"/>
                <w:lang w:val="zh-CN" w:eastAsia="en-US" w:bidi="ar-SA"/>
              </w:rPr>
            </w:pPr>
            <w:r>
              <w:rPr>
                <w:rFonts w:hint="eastAsia" w:ascii="宋体" w:hAnsi="宋体" w:eastAsia="宋体" w:cs="宋体"/>
                <w:snapToGrid w:val="0"/>
                <w:color w:val="000000"/>
                <w:spacing w:val="-2"/>
                <w:kern w:val="0"/>
                <w:sz w:val="21"/>
                <w:szCs w:val="21"/>
                <w:highlight w:val="none"/>
                <w:lang w:val="en-US" w:eastAsia="zh-CN" w:bidi="ar-SA"/>
              </w:rPr>
              <w:t>2.0</w:t>
            </w:r>
          </w:p>
        </w:tc>
        <w:tc>
          <w:tcPr>
            <w:tcW w:w="5020" w:type="dxa"/>
            <w:vAlign w:val="center"/>
          </w:tcPr>
          <w:p>
            <w:pPr>
              <w:topLinePunct/>
              <w:spacing w:line="400" w:lineRule="exact"/>
              <w:jc w:val="left"/>
              <w:rPr>
                <w:rFonts w:hint="eastAsia" w:ascii="宋体" w:hAnsi="宋体" w:eastAsia="宋体" w:cs="宋体"/>
                <w:snapToGrid w:val="0"/>
                <w:color w:val="000000"/>
                <w:spacing w:val="-2"/>
                <w:kern w:val="0"/>
                <w:sz w:val="21"/>
                <w:szCs w:val="21"/>
                <w:highlight w:val="none"/>
                <w:lang w:val="zh-CN" w:eastAsia="zh-CN" w:bidi="ar-SA"/>
              </w:rPr>
            </w:pPr>
            <w:r>
              <w:rPr>
                <w:rFonts w:hint="eastAsia" w:ascii="宋体" w:hAnsi="宋体" w:eastAsia="宋体" w:cs="宋体"/>
                <w:snapToGrid w:val="0"/>
                <w:color w:val="000000"/>
                <w:spacing w:val="-2"/>
                <w:kern w:val="0"/>
                <w:sz w:val="21"/>
                <w:szCs w:val="21"/>
                <w:highlight w:val="none"/>
                <w:lang w:val="zh-CN" w:eastAsia="zh-CN" w:bidi="ar-SA"/>
              </w:rPr>
              <w:t>评标时按照投标人的安全生产标准化达标等级计算得分。一级达标企业得2分；二级达标企业得1.5分；三级达标企业得1分；未达标的企业不得分。</w:t>
            </w:r>
          </w:p>
          <w:p>
            <w:pPr>
              <w:topLinePunct/>
              <w:spacing w:line="400" w:lineRule="exact"/>
              <w:jc w:val="left"/>
              <w:rPr>
                <w:rFonts w:hint="eastAsia" w:ascii="宋体" w:hAnsi="宋体" w:eastAsia="宋体" w:cs="宋体"/>
                <w:snapToGrid w:val="0"/>
                <w:color w:val="000000"/>
                <w:spacing w:val="-2"/>
                <w:kern w:val="0"/>
                <w:sz w:val="21"/>
                <w:szCs w:val="21"/>
                <w:highlight w:val="none"/>
                <w:lang w:val="en-US" w:eastAsia="zh-CN" w:bidi="ar-SA"/>
              </w:rPr>
            </w:pPr>
            <w:r>
              <w:rPr>
                <w:rFonts w:hint="eastAsia" w:ascii="宋体" w:hAnsi="宋体" w:eastAsia="宋体" w:cs="宋体"/>
                <w:snapToGrid w:val="0"/>
                <w:color w:val="000000"/>
                <w:spacing w:val="-2"/>
                <w:kern w:val="0"/>
                <w:sz w:val="21"/>
                <w:szCs w:val="21"/>
                <w:highlight w:val="none"/>
                <w:lang w:val="zh-CN" w:eastAsia="zh-CN" w:bidi="ar-SA"/>
              </w:rPr>
              <w:t>以水利安全生产标准化证书为准，投标文件中附彩色扫描件，不提供不得分。</w:t>
            </w:r>
          </w:p>
        </w:tc>
        <w:tc>
          <w:tcPr>
            <w:tcW w:w="9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9" w:type="dxa"/>
            <w:vAlign w:val="top"/>
          </w:tcPr>
          <w:p>
            <w:pPr>
              <w:spacing w:line="430" w:lineRule="auto"/>
              <w:jc w:val="center"/>
              <w:rPr>
                <w:rFonts w:hint="eastAsia" w:ascii="宋体" w:hAnsi="宋体" w:eastAsia="宋体" w:cs="宋体"/>
                <w:sz w:val="24"/>
                <w:szCs w:val="24"/>
                <w:highlight w:val="none"/>
                <w:lang w:val="en-US" w:eastAsia="zh-CN"/>
              </w:rPr>
            </w:pPr>
          </w:p>
          <w:p>
            <w:pPr>
              <w:spacing w:line="430" w:lineRule="auto"/>
              <w:jc w:val="center"/>
              <w:rPr>
                <w:rFonts w:hint="eastAsia" w:ascii="宋体" w:hAnsi="宋体" w:eastAsia="宋体" w:cs="宋体"/>
                <w:sz w:val="24"/>
                <w:szCs w:val="24"/>
                <w:highlight w:val="none"/>
                <w:lang w:val="en-US" w:eastAsia="zh-CN"/>
              </w:rPr>
            </w:pPr>
          </w:p>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750" w:type="dxa"/>
            <w:vAlign w:val="center"/>
          </w:tcPr>
          <w:p>
            <w:pPr>
              <w:spacing w:line="251" w:lineRule="auto"/>
              <w:jc w:val="center"/>
              <w:rPr>
                <w:rFonts w:ascii="Arial"/>
                <w:sz w:val="21"/>
                <w:highlight w:val="none"/>
              </w:rPr>
            </w:pPr>
          </w:p>
          <w:p>
            <w:pPr>
              <w:spacing w:line="251" w:lineRule="auto"/>
              <w:jc w:val="center"/>
              <w:rPr>
                <w:rFonts w:ascii="Arial"/>
                <w:sz w:val="21"/>
                <w:highlight w:val="none"/>
              </w:rPr>
            </w:pPr>
          </w:p>
          <w:p>
            <w:pPr>
              <w:pStyle w:val="139"/>
              <w:spacing w:before="68" w:line="221" w:lineRule="auto"/>
              <w:ind w:left="431"/>
              <w:jc w:val="center"/>
              <w:rPr>
                <w:highlight w:val="none"/>
              </w:rPr>
            </w:pPr>
            <w:r>
              <w:rPr>
                <w:spacing w:val="-2"/>
                <w:highlight w:val="none"/>
              </w:rPr>
              <w:t>企业信用等级</w:t>
            </w:r>
          </w:p>
        </w:tc>
        <w:tc>
          <w:tcPr>
            <w:tcW w:w="1000" w:type="dxa"/>
            <w:vAlign w:val="center"/>
          </w:tcPr>
          <w:p>
            <w:pPr>
              <w:spacing w:line="255" w:lineRule="auto"/>
              <w:jc w:val="center"/>
              <w:rPr>
                <w:rFonts w:ascii="Arial"/>
                <w:sz w:val="21"/>
                <w:highlight w:val="none"/>
              </w:rPr>
            </w:pPr>
          </w:p>
          <w:p>
            <w:pPr>
              <w:spacing w:line="255" w:lineRule="auto"/>
              <w:jc w:val="center"/>
              <w:rPr>
                <w:rFonts w:ascii="Arial"/>
                <w:sz w:val="21"/>
                <w:highlight w:val="none"/>
              </w:rPr>
            </w:pPr>
          </w:p>
          <w:p>
            <w:pPr>
              <w:pStyle w:val="139"/>
              <w:spacing w:before="69" w:line="182" w:lineRule="auto"/>
              <w:jc w:val="center"/>
              <w:rPr>
                <w:highlight w:val="none"/>
              </w:rPr>
            </w:pPr>
            <w:r>
              <w:rPr>
                <w:spacing w:val="-3"/>
                <w:highlight w:val="none"/>
              </w:rPr>
              <w:t>3.0</w:t>
            </w:r>
          </w:p>
        </w:tc>
        <w:tc>
          <w:tcPr>
            <w:tcW w:w="5020" w:type="dxa"/>
            <w:vAlign w:val="top"/>
          </w:tcPr>
          <w:p>
            <w:pPr>
              <w:pStyle w:val="139"/>
              <w:spacing w:before="62" w:line="247" w:lineRule="auto"/>
              <w:ind w:right="103"/>
              <w:jc w:val="left"/>
              <w:rPr>
                <w:rFonts w:hint="eastAsia" w:ascii="宋体" w:hAnsi="宋体" w:eastAsia="宋体" w:cs="宋体"/>
                <w:snapToGrid w:val="0"/>
                <w:color w:val="000000"/>
                <w:spacing w:val="-2"/>
                <w:kern w:val="0"/>
                <w:sz w:val="21"/>
                <w:szCs w:val="21"/>
                <w:highlight w:val="none"/>
                <w:lang w:val="zh-CN" w:eastAsia="zh-CN" w:bidi="ar-SA"/>
              </w:rPr>
            </w:pPr>
            <w:r>
              <w:rPr>
                <w:rFonts w:hint="eastAsia" w:ascii="宋体" w:hAnsi="宋体" w:eastAsia="宋体" w:cs="宋体"/>
                <w:snapToGrid w:val="0"/>
                <w:color w:val="000000"/>
                <w:spacing w:val="-2"/>
                <w:kern w:val="0"/>
                <w:sz w:val="21"/>
                <w:szCs w:val="21"/>
                <w:highlight w:val="none"/>
                <w:lang w:val="zh-CN" w:eastAsia="zh-CN" w:bidi="ar-SA"/>
              </w:rPr>
              <w:t>评标时按照投标人在</w:t>
            </w:r>
            <w:r>
              <w:rPr>
                <w:rFonts w:hint="eastAsia" w:cs="宋体"/>
                <w:snapToGrid w:val="0"/>
                <w:color w:val="000000"/>
                <w:spacing w:val="-2"/>
                <w:kern w:val="0"/>
                <w:sz w:val="21"/>
                <w:szCs w:val="21"/>
                <w:highlight w:val="none"/>
                <w:lang w:val="zh-CN" w:eastAsia="zh-CN" w:bidi="ar-SA"/>
              </w:rPr>
              <w:t>水利部的水利建设市场监管平台</w:t>
            </w:r>
            <w:r>
              <w:rPr>
                <w:rFonts w:hint="eastAsia" w:ascii="宋体" w:hAnsi="宋体" w:eastAsia="宋体" w:cs="宋体"/>
                <w:snapToGrid w:val="0"/>
                <w:color w:val="000000"/>
                <w:spacing w:val="-2"/>
                <w:kern w:val="0"/>
                <w:sz w:val="21"/>
                <w:szCs w:val="21"/>
                <w:highlight w:val="none"/>
                <w:lang w:val="zh-CN" w:eastAsia="zh-CN" w:bidi="ar-SA"/>
              </w:rPr>
              <w:t>或</w:t>
            </w:r>
            <w:r>
              <w:rPr>
                <w:rFonts w:hint="eastAsia" w:cs="宋体"/>
                <w:snapToGrid w:val="0"/>
                <w:color w:val="000000"/>
                <w:spacing w:val="-2"/>
                <w:kern w:val="0"/>
                <w:sz w:val="21"/>
                <w:szCs w:val="21"/>
                <w:highlight w:val="none"/>
                <w:lang w:val="zh-CN" w:eastAsia="zh-CN" w:bidi="ar-SA"/>
              </w:rPr>
              <w:t>辽宁省水利建设市场监管平台</w:t>
            </w:r>
            <w:r>
              <w:rPr>
                <w:rFonts w:hint="eastAsia" w:ascii="宋体" w:hAnsi="宋体" w:eastAsia="宋体" w:cs="宋体"/>
                <w:snapToGrid w:val="0"/>
                <w:color w:val="000000"/>
                <w:spacing w:val="-2"/>
                <w:kern w:val="0"/>
                <w:sz w:val="21"/>
                <w:szCs w:val="21"/>
                <w:highlight w:val="none"/>
                <w:lang w:val="zh-CN" w:eastAsia="zh-CN" w:bidi="ar-SA"/>
              </w:rPr>
              <w:t>公开的信用等级计算得分。AAA级得3分；AA级得2分；A级得1分；B级得0.5分；C级及无信用等级不得分。</w:t>
            </w:r>
          </w:p>
          <w:p>
            <w:pPr>
              <w:pStyle w:val="139"/>
              <w:spacing w:before="62" w:line="247" w:lineRule="auto"/>
              <w:ind w:right="103"/>
              <w:jc w:val="left"/>
              <w:rPr>
                <w:rFonts w:hint="eastAsia" w:ascii="宋体" w:hAnsi="宋体" w:eastAsia="宋体" w:cs="宋体"/>
                <w:snapToGrid w:val="0"/>
                <w:color w:val="000000"/>
                <w:spacing w:val="-2"/>
                <w:kern w:val="0"/>
                <w:sz w:val="21"/>
                <w:szCs w:val="21"/>
                <w:highlight w:val="none"/>
                <w:lang w:val="zh-CN" w:eastAsia="zh-CN" w:bidi="ar-SA"/>
              </w:rPr>
            </w:pPr>
            <w:r>
              <w:rPr>
                <w:rFonts w:hint="eastAsia" w:ascii="宋体" w:hAnsi="宋体" w:eastAsia="宋体" w:cs="宋体"/>
                <w:snapToGrid w:val="0"/>
                <w:color w:val="000000"/>
                <w:spacing w:val="-2"/>
                <w:kern w:val="0"/>
                <w:sz w:val="21"/>
                <w:szCs w:val="21"/>
                <w:highlight w:val="none"/>
                <w:lang w:val="zh-CN" w:eastAsia="zh-CN" w:bidi="ar-SA"/>
              </w:rPr>
              <w:t>投标文件中附</w:t>
            </w:r>
            <w:r>
              <w:rPr>
                <w:rFonts w:hint="eastAsia" w:cs="宋体"/>
                <w:snapToGrid w:val="0"/>
                <w:color w:val="000000"/>
                <w:spacing w:val="-2"/>
                <w:kern w:val="0"/>
                <w:sz w:val="21"/>
                <w:szCs w:val="21"/>
                <w:highlight w:val="none"/>
                <w:lang w:val="zh-CN" w:eastAsia="zh-CN" w:bidi="ar-SA"/>
              </w:rPr>
              <w:t>查询截图彩色图片</w:t>
            </w:r>
            <w:r>
              <w:rPr>
                <w:rFonts w:hint="eastAsia" w:ascii="宋体" w:hAnsi="宋体" w:eastAsia="宋体" w:cs="宋体"/>
                <w:snapToGrid w:val="0"/>
                <w:color w:val="000000"/>
                <w:spacing w:val="-2"/>
                <w:kern w:val="0"/>
                <w:sz w:val="21"/>
                <w:szCs w:val="21"/>
                <w:highlight w:val="none"/>
                <w:lang w:val="zh-CN" w:eastAsia="zh-CN" w:bidi="ar-SA"/>
              </w:rPr>
              <w:t>，不提供不得分。</w:t>
            </w:r>
          </w:p>
        </w:tc>
        <w:tc>
          <w:tcPr>
            <w:tcW w:w="9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39" w:type="dxa"/>
            <w:vAlign w:val="top"/>
          </w:tcPr>
          <w:p>
            <w:pPr>
              <w:spacing w:line="430" w:lineRule="auto"/>
              <w:jc w:val="center"/>
              <w:rPr>
                <w:rFonts w:hint="eastAsia" w:ascii="宋体" w:hAnsi="宋体" w:eastAsia="宋体" w:cs="宋体"/>
                <w:sz w:val="24"/>
                <w:szCs w:val="24"/>
                <w:highlight w:val="none"/>
                <w:lang w:val="en-US" w:eastAsia="zh-CN"/>
              </w:rPr>
            </w:pPr>
          </w:p>
          <w:p>
            <w:pPr>
              <w:spacing w:line="430" w:lineRule="auto"/>
              <w:jc w:val="center"/>
              <w:rPr>
                <w:rFonts w:hint="eastAsia" w:ascii="宋体" w:hAnsi="宋体" w:eastAsia="宋体" w:cs="宋体"/>
                <w:sz w:val="24"/>
                <w:szCs w:val="24"/>
                <w:highlight w:val="none"/>
                <w:lang w:val="en-US" w:eastAsia="zh-CN"/>
              </w:rPr>
            </w:pPr>
          </w:p>
          <w:p>
            <w:pPr>
              <w:spacing w:line="430" w:lineRule="auto"/>
              <w:jc w:val="center"/>
              <w:rPr>
                <w:rFonts w:hint="eastAsia" w:ascii="宋体" w:hAnsi="宋体" w:eastAsia="宋体" w:cs="宋体"/>
                <w:sz w:val="24"/>
                <w:szCs w:val="24"/>
                <w:highlight w:val="none"/>
                <w:lang w:val="en-US" w:eastAsia="zh-CN"/>
              </w:rPr>
            </w:pPr>
          </w:p>
          <w:p>
            <w:pPr>
              <w:spacing w:line="43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750" w:type="dxa"/>
            <w:vAlign w:val="center"/>
          </w:tcPr>
          <w:p>
            <w:pPr>
              <w:spacing w:line="395" w:lineRule="auto"/>
              <w:jc w:val="center"/>
              <w:rPr>
                <w:rFonts w:ascii="Arial"/>
                <w:sz w:val="21"/>
                <w:highlight w:val="none"/>
              </w:rPr>
            </w:pPr>
          </w:p>
          <w:p>
            <w:pPr>
              <w:pStyle w:val="139"/>
              <w:spacing w:before="69" w:line="219" w:lineRule="auto"/>
              <w:ind w:left="217"/>
              <w:jc w:val="center"/>
              <w:rPr>
                <w:highlight w:val="none"/>
              </w:rPr>
            </w:pPr>
            <w:r>
              <w:rPr>
                <w:spacing w:val="-1"/>
                <w:highlight w:val="none"/>
              </w:rPr>
              <w:t>信用动态评价标准</w:t>
            </w:r>
          </w:p>
        </w:tc>
        <w:tc>
          <w:tcPr>
            <w:tcW w:w="1000" w:type="dxa"/>
            <w:vAlign w:val="center"/>
          </w:tcPr>
          <w:p>
            <w:pPr>
              <w:spacing w:line="430" w:lineRule="auto"/>
              <w:jc w:val="center"/>
              <w:rPr>
                <w:rFonts w:ascii="Arial"/>
                <w:sz w:val="21"/>
                <w:highlight w:val="none"/>
              </w:rPr>
            </w:pPr>
          </w:p>
          <w:p>
            <w:pPr>
              <w:pStyle w:val="139"/>
              <w:spacing w:before="69" w:line="182" w:lineRule="auto"/>
              <w:jc w:val="center"/>
              <w:rPr>
                <w:highlight w:val="none"/>
              </w:rPr>
            </w:pPr>
            <w:r>
              <w:rPr>
                <w:spacing w:val="-3"/>
                <w:highlight w:val="none"/>
              </w:rPr>
              <w:t>7.0</w:t>
            </w:r>
          </w:p>
        </w:tc>
        <w:tc>
          <w:tcPr>
            <w:tcW w:w="5020" w:type="dxa"/>
            <w:vAlign w:val="top"/>
          </w:tcPr>
          <w:p>
            <w:pPr>
              <w:pStyle w:val="87"/>
              <w:jc w:val="left"/>
              <w:rPr>
                <w:rStyle w:val="40"/>
                <w:rFonts w:ascii="宋体" w:hAnsi="宋体" w:eastAsia="宋体" w:cs="宋体"/>
                <w:b w:val="0"/>
                <w:sz w:val="21"/>
                <w:szCs w:val="24"/>
              </w:rPr>
            </w:pPr>
            <w:r>
              <w:rPr>
                <w:rStyle w:val="40"/>
                <w:rFonts w:ascii="宋体" w:hAnsi="宋体" w:eastAsia="宋体" w:cs="宋体"/>
                <w:b w:val="0"/>
                <w:sz w:val="21"/>
                <w:szCs w:val="24"/>
              </w:rPr>
              <w:t xml:space="preserve">“辽宁省水利建设市场主体综合信用信息表”中显示的信用动态得分率与此项标准分值的乘积，信用动态标准分值为 7 分。 </w:t>
            </w:r>
          </w:p>
          <w:p>
            <w:pPr>
              <w:pStyle w:val="87"/>
              <w:jc w:val="left"/>
              <w:rPr>
                <w:rStyle w:val="40"/>
                <w:rFonts w:ascii="宋体" w:hAnsi="宋体" w:eastAsia="宋体" w:cs="宋体"/>
                <w:b w:val="0"/>
                <w:sz w:val="21"/>
                <w:szCs w:val="24"/>
              </w:rPr>
            </w:pPr>
            <w:r>
              <w:rPr>
                <w:rStyle w:val="40"/>
                <w:rFonts w:ascii="宋体" w:hAnsi="宋体" w:eastAsia="宋体" w:cs="宋体"/>
                <w:b w:val="0"/>
                <w:sz w:val="21"/>
                <w:szCs w:val="24"/>
              </w:rPr>
              <w:t xml:space="preserve">注： 投标人自行登录“辽宁省水利建设市场监管平台 ”打印《辽宁省水利建设市场主体综合信用信息表》作为投标文件的组成部分。 </w:t>
            </w:r>
          </w:p>
          <w:p>
            <w:pPr>
              <w:pStyle w:val="87"/>
              <w:jc w:val="left"/>
              <w:rPr>
                <w:rStyle w:val="40"/>
                <w:rFonts w:ascii="宋体" w:hAnsi="宋体" w:eastAsia="宋体" w:cs="宋体"/>
                <w:b w:val="0"/>
                <w:sz w:val="21"/>
                <w:szCs w:val="24"/>
              </w:rPr>
            </w:pPr>
            <w:r>
              <w:rPr>
                <w:rStyle w:val="40"/>
                <w:rFonts w:ascii="宋体" w:hAnsi="宋体" w:eastAsia="宋体" w:cs="宋体"/>
                <w:b w:val="0"/>
                <w:sz w:val="21"/>
                <w:szCs w:val="24"/>
              </w:rPr>
              <w:t>1.因现在“辽宁省水利建设市场主体综合信用信息表”网络暂不能打印，投标单位需下载企业进入“全国水利信用信息平台”载图附后；</w:t>
            </w:r>
          </w:p>
          <w:p>
            <w:pPr>
              <w:pStyle w:val="87"/>
              <w:jc w:val="left"/>
              <w:rPr>
                <w:rStyle w:val="40"/>
                <w:rFonts w:ascii="宋体" w:hAnsi="宋体" w:eastAsia="宋体" w:cs="宋体"/>
                <w:b w:val="0"/>
                <w:sz w:val="21"/>
                <w:szCs w:val="24"/>
              </w:rPr>
            </w:pPr>
            <w:r>
              <w:rPr>
                <w:rStyle w:val="40"/>
                <w:rFonts w:ascii="宋体" w:hAnsi="宋体" w:eastAsia="宋体" w:cs="宋体"/>
                <w:b w:val="0"/>
                <w:sz w:val="21"/>
                <w:szCs w:val="24"/>
              </w:rPr>
              <w:t>2.</w:t>
            </w:r>
            <w:r>
              <w:rPr>
                <w:rStyle w:val="40"/>
                <w:rFonts w:hint="eastAsia" w:ascii="宋体" w:hAnsi="宋体" w:eastAsia="宋体" w:cs="宋体"/>
                <w:b w:val="0"/>
                <w:sz w:val="21"/>
                <w:szCs w:val="24"/>
                <w:lang w:eastAsia="zh-CN"/>
              </w:rPr>
              <w:t>投标单位需要</w:t>
            </w:r>
            <w:r>
              <w:rPr>
                <w:rStyle w:val="40"/>
                <w:rFonts w:ascii="宋体" w:hAnsi="宋体" w:eastAsia="宋体" w:cs="宋体"/>
                <w:b w:val="0"/>
                <w:sz w:val="21"/>
                <w:szCs w:val="24"/>
              </w:rPr>
              <w:t>将辽宁省水利建设市场监管平台中</w:t>
            </w:r>
            <w:r>
              <w:rPr>
                <w:rStyle w:val="40"/>
                <w:rFonts w:hint="eastAsia" w:ascii="宋体" w:hAnsi="宋体" w:eastAsia="宋体" w:cs="宋体"/>
                <w:b w:val="0"/>
                <w:sz w:val="21"/>
                <w:szCs w:val="24"/>
                <w:lang w:eastAsia="zh-CN"/>
              </w:rPr>
              <w:t>最新发布的</w:t>
            </w:r>
            <w:r>
              <w:rPr>
                <w:rStyle w:val="40"/>
                <w:rFonts w:ascii="宋体" w:hAnsi="宋体" w:eastAsia="宋体" w:cs="宋体"/>
                <w:b w:val="0"/>
                <w:sz w:val="21"/>
                <w:szCs w:val="24"/>
              </w:rPr>
              <w:t>“市场主体信用动态扣分表）名单截图附后。</w:t>
            </w:r>
          </w:p>
          <w:p>
            <w:pPr>
              <w:pStyle w:val="139"/>
              <w:spacing w:before="61" w:line="247" w:lineRule="auto"/>
              <w:ind w:left="115" w:right="108"/>
              <w:jc w:val="left"/>
              <w:rPr>
                <w:spacing w:val="-5"/>
                <w:highlight w:val="none"/>
              </w:rPr>
            </w:pPr>
            <w:r>
              <w:rPr>
                <w:rStyle w:val="40"/>
                <w:rFonts w:ascii="宋体" w:hAnsi="宋体" w:eastAsia="宋体" w:cs="宋体"/>
                <w:b w:val="0"/>
                <w:sz w:val="21"/>
                <w:szCs w:val="24"/>
              </w:rPr>
              <w:t>如企业没有列入失信名单</w:t>
            </w:r>
            <w:r>
              <w:rPr>
                <w:rStyle w:val="40"/>
                <w:rFonts w:hint="eastAsia" w:cs="宋体"/>
                <w:b w:val="0"/>
                <w:sz w:val="21"/>
                <w:szCs w:val="24"/>
                <w:lang w:eastAsia="zh-CN"/>
              </w:rPr>
              <w:t>且</w:t>
            </w:r>
            <w:r>
              <w:rPr>
                <w:rStyle w:val="40"/>
                <w:rFonts w:ascii="宋体" w:hAnsi="宋体" w:eastAsia="宋体" w:cs="宋体"/>
                <w:b w:val="0"/>
                <w:sz w:val="21"/>
                <w:szCs w:val="24"/>
              </w:rPr>
              <w:t>进入“辽宁省水利建设市场监管平台 ”</w:t>
            </w:r>
            <w:r>
              <w:rPr>
                <w:rStyle w:val="40"/>
                <w:rFonts w:hint="eastAsia" w:cs="宋体"/>
                <w:b w:val="0"/>
                <w:sz w:val="21"/>
                <w:szCs w:val="24"/>
                <w:lang w:eastAsia="zh-CN"/>
              </w:rPr>
              <w:t>和</w:t>
            </w:r>
            <w:r>
              <w:rPr>
                <w:rStyle w:val="40"/>
                <w:rFonts w:ascii="宋体" w:hAnsi="宋体" w:eastAsia="宋体" w:cs="宋体"/>
                <w:b w:val="0"/>
                <w:sz w:val="21"/>
                <w:szCs w:val="24"/>
              </w:rPr>
              <w:t>“全国水利信用信息平台”，信用动态为7分。</w:t>
            </w:r>
          </w:p>
        </w:tc>
        <w:tc>
          <w:tcPr>
            <w:tcW w:w="952" w:type="dxa"/>
            <w:vAlign w:val="top"/>
          </w:tcPr>
          <w:p>
            <w:pPr>
              <w:rPr>
                <w:rFonts w:ascii="Arial"/>
                <w:sz w:val="21"/>
                <w:highlight w:val="none"/>
              </w:rPr>
            </w:pPr>
          </w:p>
        </w:tc>
      </w:tr>
    </w:tbl>
    <w:p>
      <w:pPr>
        <w:pStyle w:val="15"/>
        <w:spacing w:line="398" w:lineRule="auto"/>
        <w:rPr>
          <w:highlight w:val="none"/>
        </w:rPr>
      </w:pPr>
    </w:p>
    <w:p>
      <w:pPr>
        <w:spacing w:line="400" w:lineRule="exact"/>
        <w:rPr>
          <w:color w:val="000080"/>
          <w:sz w:val="20"/>
          <w:szCs w:val="20"/>
          <w:highlight w:val="red"/>
        </w:rPr>
      </w:pPr>
    </w:p>
    <w:p>
      <w:pPr>
        <w:spacing w:line="400" w:lineRule="exact"/>
        <w:rPr>
          <w:color w:val="000000"/>
          <w:sz w:val="20"/>
          <w:szCs w:val="20"/>
          <w:highlight w:val="yellow"/>
        </w:rPr>
      </w:pPr>
      <w:bookmarkStart w:id="129" w:name="EB1e94059494474615ba2638312add9eaa"/>
      <w:bookmarkEnd w:id="129"/>
      <w:bookmarkStart w:id="130" w:name="EBb6bebb7c91754f6c9f1da60b355be835"/>
      <w:bookmarkEnd w:id="130"/>
    </w:p>
    <w:p>
      <w:pPr>
        <w:rPr>
          <w:highlight w:val="cyan"/>
        </w:rPr>
      </w:pPr>
      <w:bookmarkStart w:id="131" w:name="EB8218b69eda9d453d8cceec7aa5088334"/>
      <w:bookmarkEnd w:id="131"/>
    </w:p>
    <w:p>
      <w:pPr>
        <w:pStyle w:val="3"/>
        <w:spacing w:line="400" w:lineRule="exact"/>
        <w:rPr>
          <w:color w:val="000000"/>
          <w:sz w:val="27"/>
          <w:szCs w:val="27"/>
        </w:rPr>
      </w:pPr>
      <w:r>
        <w:rPr>
          <w:color w:val="000000"/>
          <w:sz w:val="27"/>
          <w:szCs w:val="27"/>
          <w:highlight w:val="white"/>
        </w:rPr>
        <w:br w:type="page"/>
      </w:r>
      <w:bookmarkStart w:id="132" w:name="_Toc49869993"/>
      <w:bookmarkStart w:id="133" w:name="_Toc256000024"/>
      <w:r>
        <w:rPr>
          <w:rFonts w:hint="eastAsia"/>
          <w:color w:val="000000"/>
          <w:sz w:val="27"/>
          <w:szCs w:val="27"/>
          <w:highlight w:val="white"/>
        </w:rPr>
        <w:t>1. 评标方法</w:t>
      </w:r>
      <w:bookmarkEnd w:id="132"/>
      <w:bookmarkEnd w:id="133"/>
    </w:p>
    <w:p>
      <w:pPr>
        <w:spacing w:line="400" w:lineRule="exact"/>
        <w:ind w:firstLine="420" w:firstLineChars="200"/>
        <w:rPr>
          <w:rFonts w:ascii="宋体" w:hAnsi="宋体"/>
          <w:color w:val="000000"/>
          <w:szCs w:val="21"/>
        </w:rPr>
      </w:pPr>
      <w:r>
        <w:rPr>
          <w:rFonts w:hint="eastAsia" w:ascii="宋体" w:hAnsi="宋体"/>
          <w:color w:val="000000"/>
          <w:szCs w:val="21"/>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3"/>
        <w:spacing w:line="400" w:lineRule="exact"/>
        <w:rPr>
          <w:color w:val="000000"/>
          <w:sz w:val="27"/>
          <w:szCs w:val="27"/>
        </w:rPr>
      </w:pPr>
      <w:bookmarkStart w:id="134" w:name="_Toc49869994"/>
      <w:bookmarkStart w:id="135" w:name="_Toc256000025"/>
      <w:r>
        <w:rPr>
          <w:rFonts w:hint="eastAsia"/>
          <w:color w:val="000000"/>
          <w:sz w:val="27"/>
          <w:szCs w:val="27"/>
          <w:highlight w:val="white"/>
        </w:rPr>
        <w:t>2. 评审标准</w:t>
      </w:r>
      <w:bookmarkEnd w:id="134"/>
      <w:bookmarkEnd w:id="135"/>
    </w:p>
    <w:p>
      <w:pPr>
        <w:spacing w:line="400" w:lineRule="exact"/>
        <w:rPr>
          <w:rFonts w:ascii="宋体" w:hAnsi="宋体"/>
          <w:b/>
          <w:color w:val="000000"/>
          <w:sz w:val="23"/>
          <w:szCs w:val="23"/>
        </w:rPr>
      </w:pPr>
      <w:r>
        <w:rPr>
          <w:rFonts w:hint="eastAsia" w:ascii="宋体" w:hAnsi="宋体"/>
          <w:b/>
          <w:color w:val="000000"/>
          <w:sz w:val="23"/>
          <w:szCs w:val="23"/>
          <w:highlight w:val="white"/>
        </w:rPr>
        <w:t>2.1初步评审标准</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2.1.1形式评审标准:</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见评标办法前附表</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2.1.2资格评审标准：（适用于未进行资格预审的）</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见评标办法前附表</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2.1.3响应性评审标准:</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见评标办法前附表</w:t>
      </w:r>
    </w:p>
    <w:p>
      <w:pPr>
        <w:spacing w:line="400" w:lineRule="exact"/>
        <w:rPr>
          <w:rFonts w:ascii="宋体" w:hAnsi="宋体"/>
          <w:b/>
          <w:color w:val="000000"/>
          <w:sz w:val="23"/>
          <w:szCs w:val="23"/>
        </w:rPr>
      </w:pPr>
      <w:r>
        <w:rPr>
          <w:rFonts w:hint="eastAsia" w:ascii="宋体" w:hAnsi="宋体"/>
          <w:b/>
          <w:color w:val="000000"/>
          <w:sz w:val="23"/>
          <w:szCs w:val="23"/>
          <w:highlight w:val="white"/>
        </w:rPr>
        <w:t>2.2评标基准价计算公式</w:t>
      </w:r>
    </w:p>
    <w:p>
      <w:pPr>
        <w:spacing w:line="400" w:lineRule="exact"/>
        <w:rPr>
          <w:rFonts w:ascii="宋体" w:hAnsi="宋体"/>
          <w:b/>
          <w:color w:val="000000"/>
          <w:sz w:val="23"/>
          <w:szCs w:val="23"/>
        </w:rPr>
      </w:pPr>
      <w:r>
        <w:rPr>
          <w:rFonts w:hint="eastAsia" w:ascii="宋体" w:hAnsi="宋体"/>
          <w:color w:val="000000"/>
          <w:szCs w:val="21"/>
          <w:highlight w:val="white"/>
        </w:rPr>
        <w:t>见评标办法前附表</w:t>
      </w:r>
    </w:p>
    <w:p>
      <w:pPr>
        <w:pStyle w:val="3"/>
        <w:spacing w:line="400" w:lineRule="exact"/>
        <w:rPr>
          <w:color w:val="000000"/>
          <w:sz w:val="27"/>
          <w:szCs w:val="27"/>
        </w:rPr>
      </w:pPr>
      <w:bookmarkStart w:id="136" w:name="_Toc256000026"/>
      <w:bookmarkStart w:id="137" w:name="_Toc49869995"/>
      <w:r>
        <w:rPr>
          <w:rFonts w:hint="eastAsia"/>
          <w:color w:val="000000"/>
          <w:sz w:val="27"/>
          <w:szCs w:val="27"/>
          <w:highlight w:val="white"/>
        </w:rPr>
        <w:t>3. 评标程序</w:t>
      </w:r>
      <w:bookmarkEnd w:id="136"/>
      <w:bookmarkEnd w:id="137"/>
    </w:p>
    <w:p>
      <w:pPr>
        <w:spacing w:line="400" w:lineRule="exact"/>
        <w:rPr>
          <w:rFonts w:ascii="宋体" w:hAnsi="宋体"/>
          <w:b/>
          <w:color w:val="000000"/>
          <w:sz w:val="23"/>
          <w:szCs w:val="23"/>
        </w:rPr>
      </w:pPr>
      <w:r>
        <w:rPr>
          <w:rFonts w:hint="eastAsia" w:ascii="宋体" w:hAnsi="宋体"/>
          <w:b/>
          <w:color w:val="000000"/>
          <w:sz w:val="23"/>
          <w:szCs w:val="23"/>
          <w:highlight w:val="white"/>
        </w:rPr>
        <w:t>3.1 初步评审</w:t>
      </w:r>
    </w:p>
    <w:p>
      <w:pPr>
        <w:spacing w:line="400" w:lineRule="exact"/>
        <w:ind w:firstLine="420" w:firstLineChars="200"/>
        <w:rPr>
          <w:color w:val="000000"/>
        </w:rPr>
      </w:pPr>
      <w:r>
        <w:rPr>
          <w:rFonts w:hint="eastAsia"/>
          <w:color w:val="000000"/>
          <w:highlight w:val="white"/>
        </w:rPr>
        <w:t>3.1.1 评标委员会可以要求投标人提交第二章“投标人须知”第</w:t>
      </w:r>
      <w:r>
        <w:rPr>
          <w:color w:val="000000"/>
          <w:highlight w:val="white"/>
        </w:rPr>
        <w:t>3.5.1</w:t>
      </w:r>
      <w:r>
        <w:rPr>
          <w:rFonts w:hint="eastAsia"/>
          <w:color w:val="000000"/>
          <w:highlight w:val="white"/>
        </w:rPr>
        <w:t>项至</w:t>
      </w:r>
      <w:r>
        <w:rPr>
          <w:color w:val="000000"/>
          <w:highlight w:val="white"/>
        </w:rPr>
        <w:t>3.5.3</w:t>
      </w:r>
      <w:r>
        <w:rPr>
          <w:rFonts w:hint="eastAsia"/>
          <w:color w:val="000000"/>
          <w:highlight w:val="white"/>
        </w:rPr>
        <w:t>项规定的有关证明和证件的原件，以便核验。评标委员会依据本章第2.1款规定的标准对投标文件进行初步评审。有一项不符合评审标准的，作废标处理。（适用于未进行资格预审的）</w:t>
      </w:r>
    </w:p>
    <w:p>
      <w:pPr>
        <w:spacing w:line="400" w:lineRule="exact"/>
        <w:ind w:firstLine="420" w:firstLineChars="200"/>
        <w:rPr>
          <w:color w:val="000000"/>
        </w:rPr>
      </w:pPr>
      <w:r>
        <w:rPr>
          <w:rFonts w:hint="eastAsia"/>
          <w:color w:val="000000"/>
          <w:highlight w:val="white"/>
        </w:rPr>
        <w:t>3.1.1 评标委员会依据本章第2.1.1项、第2.1.3项规定的评审标准对投标文件进行初步评审。有一项不符合评审标准的，作废标处理。当投标人资格预审申请文件的内容发生重大变化时，评标委员会依据本章第2.1.2项规定的标准对其更新资料进行评审。（适用于已进行资格预审的）</w:t>
      </w:r>
    </w:p>
    <w:p>
      <w:pPr>
        <w:spacing w:line="400" w:lineRule="exact"/>
        <w:ind w:firstLine="420" w:firstLineChars="200"/>
        <w:rPr>
          <w:color w:val="000000"/>
        </w:rPr>
      </w:pPr>
      <w:r>
        <w:rPr>
          <w:rFonts w:hint="eastAsia"/>
          <w:color w:val="000000"/>
          <w:highlight w:val="white"/>
        </w:rPr>
        <w:t>3.1.2 投标人有以下情形之一的，其投标作废标处理：</w:t>
      </w:r>
    </w:p>
    <w:p>
      <w:pPr>
        <w:spacing w:line="400" w:lineRule="exact"/>
        <w:ind w:firstLine="718" w:firstLineChars="342"/>
        <w:rPr>
          <w:color w:val="000000"/>
        </w:rPr>
      </w:pPr>
      <w:r>
        <w:rPr>
          <w:rFonts w:hint="eastAsia"/>
          <w:color w:val="000000"/>
          <w:highlight w:val="white"/>
        </w:rPr>
        <w:t>（1）第二章“投标人须知”第1.4.3项规定的任何一种情形的；</w:t>
      </w:r>
    </w:p>
    <w:p>
      <w:pPr>
        <w:spacing w:line="400" w:lineRule="exact"/>
        <w:ind w:firstLine="718" w:firstLineChars="342"/>
        <w:rPr>
          <w:color w:val="000000"/>
        </w:rPr>
      </w:pPr>
      <w:r>
        <w:rPr>
          <w:rFonts w:hint="eastAsia"/>
          <w:color w:val="000000"/>
          <w:highlight w:val="white"/>
        </w:rPr>
        <w:t>（2）串通投标或弄虚作假或有其他违法行为的；</w:t>
      </w:r>
    </w:p>
    <w:p>
      <w:pPr>
        <w:spacing w:line="400" w:lineRule="exact"/>
        <w:ind w:firstLine="718" w:firstLineChars="342"/>
        <w:rPr>
          <w:color w:val="000000"/>
        </w:rPr>
      </w:pPr>
      <w:r>
        <w:rPr>
          <w:rFonts w:hint="eastAsia"/>
          <w:color w:val="000000"/>
          <w:highlight w:val="white"/>
        </w:rPr>
        <w:t>（3）不按评标委员会要求澄清、说明或补正的。</w:t>
      </w:r>
    </w:p>
    <w:p>
      <w:pPr>
        <w:spacing w:line="400" w:lineRule="exact"/>
        <w:ind w:firstLine="420" w:firstLineChars="200"/>
        <w:rPr>
          <w:color w:val="000000"/>
        </w:rPr>
      </w:pPr>
      <w:r>
        <w:rPr>
          <w:rFonts w:hint="eastAsia"/>
          <w:color w:val="000000"/>
          <w:highlight w:val="white"/>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rPr>
          <w:color w:val="000000"/>
        </w:rPr>
      </w:pPr>
      <w:r>
        <w:rPr>
          <w:rFonts w:hint="eastAsia"/>
          <w:color w:val="000000"/>
          <w:highlight w:val="white"/>
        </w:rPr>
        <w:t>（1）投标文件中的大写金额与小写金额不一致的，以大写金额为准；</w:t>
      </w:r>
    </w:p>
    <w:p>
      <w:pPr>
        <w:spacing w:line="400" w:lineRule="exact"/>
        <w:ind w:firstLine="718" w:firstLineChars="342"/>
        <w:rPr>
          <w:color w:val="000000"/>
        </w:rPr>
      </w:pPr>
      <w:r>
        <w:rPr>
          <w:rFonts w:hint="eastAsia"/>
          <w:color w:val="000000"/>
          <w:highlight w:val="white"/>
        </w:rPr>
        <w:t>（2）总价金额与依据单价计算出的结果不一致的，以单价金额为准修正总价，但单价金额小数点有明显错误的除外。</w:t>
      </w:r>
    </w:p>
    <w:p>
      <w:pPr>
        <w:spacing w:line="400" w:lineRule="exact"/>
        <w:rPr>
          <w:rFonts w:ascii="宋体" w:hAnsi="宋体"/>
          <w:b/>
          <w:color w:val="000000"/>
          <w:sz w:val="23"/>
          <w:szCs w:val="23"/>
        </w:rPr>
      </w:pPr>
      <w:r>
        <w:rPr>
          <w:rFonts w:hint="eastAsia" w:ascii="宋体" w:hAnsi="宋体"/>
          <w:b/>
          <w:color w:val="000000"/>
          <w:sz w:val="23"/>
          <w:szCs w:val="23"/>
          <w:highlight w:val="white"/>
        </w:rPr>
        <w:t>3.2 详细评审</w:t>
      </w:r>
    </w:p>
    <w:p>
      <w:pPr>
        <w:spacing w:line="400" w:lineRule="exact"/>
        <w:ind w:firstLine="420" w:firstLineChars="200"/>
        <w:rPr>
          <w:color w:val="000000"/>
        </w:rPr>
      </w:pPr>
      <w:r>
        <w:rPr>
          <w:rFonts w:hint="eastAsia"/>
          <w:color w:val="000000"/>
          <w:highlight w:val="white"/>
        </w:rPr>
        <w:t>3.2.1 评标委员会按本章第2.2款规定的量化因素和分值进行打分，并计算出综合评估得分。</w:t>
      </w:r>
    </w:p>
    <w:p>
      <w:pPr>
        <w:spacing w:line="400" w:lineRule="exact"/>
        <w:ind w:firstLine="718" w:firstLineChars="342"/>
        <w:rPr>
          <w:color w:val="000000"/>
        </w:rPr>
      </w:pPr>
      <w:r>
        <w:rPr>
          <w:rFonts w:hint="eastAsia"/>
          <w:color w:val="000000"/>
          <w:highlight w:val="white"/>
        </w:rPr>
        <w:t>（1）按本章第2.2.4（1）目规定的评审因素和分值对施工组织设计计算出得分A；</w:t>
      </w:r>
    </w:p>
    <w:p>
      <w:pPr>
        <w:spacing w:line="400" w:lineRule="exact"/>
        <w:ind w:firstLine="718" w:firstLineChars="342"/>
        <w:rPr>
          <w:color w:val="000000"/>
        </w:rPr>
      </w:pPr>
      <w:r>
        <w:rPr>
          <w:rFonts w:hint="eastAsia"/>
          <w:color w:val="000000"/>
          <w:highlight w:val="white"/>
        </w:rPr>
        <w:t>（2）按本章第2.2.4（2）目规定的评审因素和分值对项目管理机构计算出得分B；</w:t>
      </w:r>
    </w:p>
    <w:p>
      <w:pPr>
        <w:spacing w:line="400" w:lineRule="exact"/>
        <w:ind w:firstLine="718" w:firstLineChars="342"/>
        <w:rPr>
          <w:color w:val="000000"/>
        </w:rPr>
      </w:pPr>
      <w:r>
        <w:rPr>
          <w:rFonts w:hint="eastAsia"/>
          <w:color w:val="000000"/>
          <w:highlight w:val="white"/>
        </w:rPr>
        <w:t>（3）按本章第2.2.4（3）目规定的评审因素和分值对投标报价计算出得分C；</w:t>
      </w:r>
    </w:p>
    <w:p>
      <w:pPr>
        <w:spacing w:line="400" w:lineRule="exact"/>
        <w:ind w:firstLine="718" w:firstLineChars="342"/>
        <w:rPr>
          <w:color w:val="000000"/>
        </w:rPr>
      </w:pPr>
      <w:r>
        <w:rPr>
          <w:rFonts w:hint="eastAsia"/>
          <w:color w:val="000000"/>
          <w:highlight w:val="white"/>
        </w:rPr>
        <w:t>（4）按本章第2.2.4（4）目规定的评审因素和分值对其他部分计算出得分D。</w:t>
      </w:r>
    </w:p>
    <w:p>
      <w:pPr>
        <w:spacing w:line="400" w:lineRule="exact"/>
        <w:ind w:firstLine="420" w:firstLineChars="200"/>
        <w:rPr>
          <w:color w:val="000000"/>
        </w:rPr>
      </w:pPr>
      <w:r>
        <w:rPr>
          <w:rFonts w:hint="eastAsia"/>
          <w:color w:val="000000"/>
          <w:highlight w:val="white"/>
        </w:rPr>
        <w:t>3.2.2 评分分值计算保留小数点后两位，小数点后第三位“四舍五入”。</w:t>
      </w:r>
    </w:p>
    <w:p>
      <w:pPr>
        <w:spacing w:line="400" w:lineRule="exact"/>
        <w:ind w:firstLine="420" w:firstLineChars="200"/>
        <w:rPr>
          <w:color w:val="000000"/>
        </w:rPr>
      </w:pPr>
      <w:r>
        <w:rPr>
          <w:rFonts w:hint="eastAsia"/>
          <w:color w:val="000000"/>
          <w:highlight w:val="white"/>
        </w:rPr>
        <w:t>3.2.3 投标人得分=A+B+C+D。</w:t>
      </w:r>
    </w:p>
    <w:p>
      <w:pPr>
        <w:spacing w:line="400" w:lineRule="exact"/>
        <w:ind w:firstLine="420" w:firstLineChars="200"/>
        <w:rPr>
          <w:color w:val="000000"/>
        </w:rPr>
      </w:pPr>
      <w:r>
        <w:rPr>
          <w:rFonts w:hint="eastAsia"/>
          <w:color w:val="000000"/>
          <w:highlight w:val="whit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00" w:lineRule="exact"/>
        <w:rPr>
          <w:rFonts w:ascii="宋体" w:hAnsi="宋体"/>
          <w:b/>
          <w:color w:val="000000"/>
          <w:sz w:val="23"/>
          <w:szCs w:val="23"/>
        </w:rPr>
      </w:pPr>
      <w:r>
        <w:rPr>
          <w:rFonts w:hint="eastAsia" w:ascii="宋体" w:hAnsi="宋体"/>
          <w:b/>
          <w:color w:val="000000"/>
          <w:sz w:val="23"/>
          <w:szCs w:val="23"/>
          <w:highlight w:val="white"/>
        </w:rPr>
        <w:t>3.3 投标文件的澄清和补正</w:t>
      </w:r>
    </w:p>
    <w:p>
      <w:pPr>
        <w:spacing w:line="400" w:lineRule="exact"/>
        <w:ind w:firstLine="420" w:firstLineChars="200"/>
        <w:rPr>
          <w:color w:val="000000"/>
        </w:rPr>
      </w:pPr>
      <w:r>
        <w:rPr>
          <w:rFonts w:hint="eastAsia"/>
          <w:color w:val="000000"/>
          <w:highlight w:val="whit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color w:val="000000"/>
        </w:rPr>
      </w:pPr>
      <w:r>
        <w:rPr>
          <w:rFonts w:hint="eastAsia"/>
          <w:color w:val="000000"/>
          <w:highlight w:val="white"/>
        </w:rPr>
        <w:t>3.3.2 澄清、说明和补正不得改变投标文件的实质性内容（算术性错误修正的除外）。投标人的书面澄清、说明和补正属于投标文件的组成部分。</w:t>
      </w:r>
    </w:p>
    <w:p>
      <w:pPr>
        <w:spacing w:line="400" w:lineRule="exact"/>
        <w:ind w:firstLine="420" w:firstLineChars="200"/>
        <w:rPr>
          <w:color w:val="000000"/>
        </w:rPr>
      </w:pPr>
      <w:r>
        <w:rPr>
          <w:rFonts w:hint="eastAsia"/>
          <w:color w:val="000000"/>
          <w:highlight w:val="white"/>
        </w:rPr>
        <w:t>3.3.3 评标委员会对投标人提交的澄清、说明或补正有疑问的，可以要求投标人进一步澄清、说明或补正，直至满足评标委员会的要求。</w:t>
      </w:r>
    </w:p>
    <w:p>
      <w:pPr>
        <w:spacing w:line="400" w:lineRule="exact"/>
        <w:ind w:right="248" w:firstLine="400" w:firstLineChars="200"/>
        <w:rPr>
          <w:color w:val="000000"/>
          <w:sz w:val="20"/>
          <w:szCs w:val="20"/>
        </w:rPr>
      </w:pPr>
    </w:p>
    <w:p>
      <w:pPr>
        <w:spacing w:line="400" w:lineRule="exact"/>
        <w:rPr>
          <w:rFonts w:ascii="宋体" w:hAnsi="宋体"/>
          <w:b/>
          <w:color w:val="000000"/>
          <w:sz w:val="23"/>
          <w:szCs w:val="23"/>
        </w:rPr>
      </w:pPr>
      <w:r>
        <w:rPr>
          <w:rFonts w:hint="eastAsia" w:ascii="宋体" w:hAnsi="宋体"/>
          <w:b/>
          <w:color w:val="000000"/>
          <w:sz w:val="23"/>
          <w:szCs w:val="23"/>
          <w:highlight w:val="white"/>
        </w:rPr>
        <w:t>3.4评标结果</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3.4.1 评标委员会依据本章第2.2条评分标准进行评分，按评标办法前附表的约定计算投标人最终得分，根据得分由高到低的顺序推荐3名中标候选人，并标明推荐顺序。</w:t>
      </w:r>
    </w:p>
    <w:p>
      <w:pPr>
        <w:spacing w:line="400" w:lineRule="exact"/>
        <w:ind w:right="248" w:firstLine="420" w:firstLineChars="200"/>
        <w:rPr>
          <w:rFonts w:ascii="宋体" w:hAnsi="宋体"/>
          <w:color w:val="000000"/>
          <w:szCs w:val="21"/>
        </w:rPr>
      </w:pPr>
      <w:r>
        <w:rPr>
          <w:rFonts w:hint="eastAsia" w:ascii="宋体" w:hAnsi="宋体"/>
          <w:color w:val="000000"/>
          <w:szCs w:val="21"/>
          <w:highlight w:val="white"/>
        </w:rPr>
        <w:t>3.4.2 评标委员会完成评标后，应当向招标人提交书面评标报告。</w:t>
      </w:r>
    </w:p>
    <w:p>
      <w:pPr>
        <w:pStyle w:val="3"/>
        <w:spacing w:line="400" w:lineRule="exact"/>
        <w:rPr>
          <w:rFonts w:ascii="宋体" w:hAnsi="宋体" w:eastAsia="宋体"/>
          <w:color w:val="000000"/>
          <w:sz w:val="23"/>
          <w:szCs w:val="23"/>
        </w:rPr>
      </w:pPr>
      <w:bookmarkStart w:id="138" w:name="_Toc256000027"/>
      <w:r>
        <w:rPr>
          <w:rFonts w:hint="eastAsia" w:ascii="宋体" w:hAnsi="宋体" w:eastAsia="宋体"/>
          <w:color w:val="000000"/>
          <w:sz w:val="23"/>
          <w:szCs w:val="23"/>
          <w:highlight w:val="white"/>
        </w:rPr>
        <w:t>4. 评标办法其他说明</w:t>
      </w:r>
      <w:bookmarkEnd w:id="138"/>
    </w:p>
    <w:p>
      <w:r>
        <w:rPr>
          <w:rFonts w:hint="eastAsia" w:ascii="宋体" w:hAnsi="宋体"/>
          <w:color w:val="000000"/>
          <w:szCs w:val="21"/>
          <w:highlight w:val="white"/>
        </w:rPr>
        <w:t>见评标办法前附表</w:t>
      </w:r>
    </w:p>
    <w:p>
      <w:pPr>
        <w:spacing w:line="400" w:lineRule="exact"/>
        <w:rPr>
          <w:color w:val="000000"/>
          <w:sz w:val="20"/>
          <w:szCs w:val="20"/>
        </w:rPr>
      </w:pPr>
      <w:r>
        <w:rPr>
          <w:color w:val="000000"/>
          <w:sz w:val="20"/>
          <w:szCs w:val="20"/>
          <w:highlight w:val="white"/>
        </w:rPr>
        <w:br w:type="page"/>
      </w:r>
    </w:p>
    <w:p>
      <w:pPr>
        <w:pStyle w:val="3"/>
        <w:spacing w:line="400" w:lineRule="exact"/>
        <w:rPr>
          <w:color w:val="000000"/>
          <w:sz w:val="27"/>
          <w:szCs w:val="27"/>
        </w:rPr>
      </w:pPr>
      <w:bookmarkStart w:id="139" w:name="_Toc256000028"/>
      <w:bookmarkStart w:id="140" w:name="_Toc49869996"/>
      <w:r>
        <w:rPr>
          <w:color w:val="000000"/>
          <w:sz w:val="27"/>
          <w:szCs w:val="27"/>
          <w:highlight w:val="white"/>
        </w:rPr>
        <w:t>附表</w:t>
      </w:r>
      <w:r>
        <w:rPr>
          <w:rFonts w:hint="eastAsia"/>
          <w:color w:val="000000"/>
          <w:sz w:val="27"/>
          <w:szCs w:val="27"/>
          <w:highlight w:val="white"/>
        </w:rPr>
        <w:t>一</w:t>
      </w:r>
      <w:r>
        <w:rPr>
          <w:color w:val="000000"/>
          <w:sz w:val="27"/>
          <w:szCs w:val="27"/>
          <w:highlight w:val="white"/>
        </w:rPr>
        <w:t>：</w:t>
      </w:r>
      <w:r>
        <w:rPr>
          <w:rFonts w:hint="eastAsia"/>
          <w:color w:val="000000"/>
          <w:sz w:val="27"/>
          <w:szCs w:val="27"/>
          <w:highlight w:val="white"/>
        </w:rPr>
        <w:t>投标文件</w:t>
      </w:r>
      <w:r>
        <w:rPr>
          <w:color w:val="000000"/>
          <w:sz w:val="27"/>
          <w:szCs w:val="27"/>
          <w:highlight w:val="white"/>
        </w:rPr>
        <w:t>澄清通知</w:t>
      </w:r>
      <w:r>
        <w:rPr>
          <w:rFonts w:hint="eastAsia"/>
          <w:color w:val="000000"/>
          <w:sz w:val="27"/>
          <w:szCs w:val="27"/>
          <w:highlight w:val="white"/>
        </w:rPr>
        <w:t>（格式）</w:t>
      </w:r>
      <w:bookmarkEnd w:id="139"/>
      <w:bookmarkEnd w:id="140"/>
    </w:p>
    <w:p>
      <w:pPr>
        <w:spacing w:line="400" w:lineRule="exact"/>
        <w:jc w:val="center"/>
        <w:rPr>
          <w:color w:val="000000"/>
          <w:sz w:val="20"/>
          <w:szCs w:val="20"/>
        </w:rPr>
      </w:pPr>
    </w:p>
    <w:p>
      <w:pPr>
        <w:spacing w:line="400" w:lineRule="exact"/>
        <w:jc w:val="center"/>
        <w:rPr>
          <w:rFonts w:ascii="黑体" w:eastAsia="黑体"/>
          <w:b/>
          <w:color w:val="000000"/>
          <w:sz w:val="23"/>
          <w:szCs w:val="21"/>
        </w:rPr>
      </w:pPr>
      <w:r>
        <w:rPr>
          <w:rFonts w:hint="eastAsia" w:eastAsia="黑体"/>
          <w:b/>
          <w:color w:val="000000"/>
          <w:sz w:val="23"/>
          <w:szCs w:val="21"/>
          <w:highlight w:val="white"/>
        </w:rPr>
        <w:t>投标文件</w:t>
      </w:r>
      <w:r>
        <w:rPr>
          <w:rFonts w:eastAsia="黑体"/>
          <w:b/>
          <w:color w:val="000000"/>
          <w:sz w:val="23"/>
          <w:szCs w:val="21"/>
          <w:highlight w:val="white"/>
        </w:rPr>
        <w:t>澄清通知</w:t>
      </w:r>
      <w:r>
        <w:rPr>
          <w:rFonts w:hint="eastAsia" w:ascii="黑体" w:eastAsia="黑体"/>
          <w:b/>
          <w:color w:val="000000"/>
          <w:sz w:val="23"/>
          <w:szCs w:val="21"/>
          <w:highlight w:val="white"/>
        </w:rPr>
        <w:t>（格式）</w:t>
      </w:r>
    </w:p>
    <w:p>
      <w:pPr>
        <w:spacing w:line="400" w:lineRule="exact"/>
        <w:jc w:val="center"/>
        <w:rPr>
          <w:rFonts w:eastAsia="黑体"/>
          <w:color w:val="000000"/>
          <w:szCs w:val="21"/>
        </w:rPr>
      </w:pPr>
    </w:p>
    <w:p>
      <w:pPr>
        <w:spacing w:line="400" w:lineRule="exact"/>
        <w:rPr>
          <w:color w:val="000000"/>
          <w:szCs w:val="21"/>
        </w:rPr>
      </w:pPr>
      <w:r>
        <w:rPr>
          <w:color w:val="000000"/>
          <w:szCs w:val="21"/>
          <w:highlight w:val="white"/>
        </w:rPr>
        <w:t xml:space="preserve">                               编号：</w:t>
      </w:r>
    </w:p>
    <w:p>
      <w:pPr>
        <w:spacing w:line="400" w:lineRule="exact"/>
        <w:rPr>
          <w:color w:val="000000"/>
          <w:szCs w:val="21"/>
        </w:rPr>
      </w:pPr>
    </w:p>
    <w:p>
      <w:pPr>
        <w:spacing w:line="400" w:lineRule="exact"/>
        <w:rPr>
          <w:color w:val="000000"/>
          <w:szCs w:val="21"/>
        </w:rPr>
      </w:pPr>
      <w:r>
        <w:rPr>
          <w:color w:val="000000"/>
          <w:szCs w:val="21"/>
          <w:highlight w:val="white"/>
          <w:u w:val="single"/>
        </w:rPr>
        <w:t xml:space="preserve">            </w:t>
      </w:r>
      <w:r>
        <w:rPr>
          <w:color w:val="000000"/>
          <w:szCs w:val="21"/>
          <w:highlight w:val="white"/>
        </w:rPr>
        <w:t>（</w:t>
      </w:r>
      <w:r>
        <w:rPr>
          <w:rFonts w:hint="eastAsia" w:ascii="仿宋_GB2312" w:eastAsia="仿宋_GB2312"/>
          <w:color w:val="000000"/>
          <w:szCs w:val="21"/>
          <w:highlight w:val="white"/>
        </w:rPr>
        <w:t>投标人名称</w:t>
      </w:r>
      <w:r>
        <w:rPr>
          <w:color w:val="000000"/>
          <w:szCs w:val="21"/>
          <w:highlight w:val="white"/>
        </w:rPr>
        <w:t>）：</w:t>
      </w: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color w:val="000000"/>
          <w:szCs w:val="21"/>
          <w:highlight w:val="white"/>
          <w:u w:val="single"/>
        </w:rPr>
        <w:t xml:space="preserve">　             </w:t>
      </w:r>
      <w:r>
        <w:rPr>
          <w:color w:val="000000"/>
          <w:szCs w:val="21"/>
          <w:highlight w:val="white"/>
        </w:rPr>
        <w:t xml:space="preserve"> </w:t>
      </w:r>
      <w:r>
        <w:rPr>
          <w:rFonts w:hint="eastAsia" w:ascii="仿宋_GB2312" w:eastAsia="仿宋_GB2312"/>
          <w:color w:val="000000"/>
          <w:szCs w:val="21"/>
          <w:highlight w:val="white"/>
        </w:rPr>
        <w:t>（项目名称）</w:t>
      </w:r>
      <w:r>
        <w:rPr>
          <w:rFonts w:hint="eastAsia" w:ascii="仿宋_GB2312" w:eastAsia="仿宋_GB2312"/>
          <w:color w:val="000000"/>
          <w:szCs w:val="21"/>
          <w:highlight w:val="white"/>
          <w:u w:val="single"/>
        </w:rPr>
        <w:t xml:space="preserve">        （</w:t>
      </w:r>
      <w:r>
        <w:rPr>
          <w:rFonts w:hint="eastAsia" w:ascii="仿宋_GB2312" w:eastAsia="仿宋_GB2312"/>
          <w:color w:val="000000"/>
          <w:szCs w:val="21"/>
          <w:highlight w:val="white"/>
        </w:rPr>
        <w:t>标段名称）</w:t>
      </w:r>
      <w:r>
        <w:rPr>
          <w:color w:val="000000"/>
          <w:szCs w:val="21"/>
          <w:highlight w:val="white"/>
        </w:rPr>
        <w:t>评标委员会对你方的投标文件进行了仔细的审查，现需你方对下列问题以书面形式予以澄清：</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xml:space="preserve">    1.</w:t>
      </w:r>
    </w:p>
    <w:p>
      <w:pPr>
        <w:spacing w:line="400" w:lineRule="exact"/>
        <w:rPr>
          <w:color w:val="000000"/>
          <w:szCs w:val="21"/>
        </w:rPr>
      </w:pPr>
      <w:r>
        <w:rPr>
          <w:color w:val="000000"/>
          <w:szCs w:val="21"/>
          <w:highlight w:val="white"/>
        </w:rPr>
        <w:t xml:space="preserve">    2.</w:t>
      </w:r>
    </w:p>
    <w:p>
      <w:pPr>
        <w:spacing w:line="400" w:lineRule="exact"/>
        <w:rPr>
          <w:color w:val="000000"/>
          <w:szCs w:val="21"/>
        </w:rPr>
      </w:pPr>
      <w:r>
        <w:rPr>
          <w:color w:val="000000"/>
          <w:szCs w:val="21"/>
          <w:highlight w:val="white"/>
        </w:rPr>
        <w:t xml:space="preserve">     ......   </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请将上述问题的澄清于</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年</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月</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日</w:t>
      </w:r>
      <w:r>
        <w:rPr>
          <w:color w:val="000000"/>
          <w:szCs w:val="21"/>
          <w:highlight w:val="white"/>
          <w:u w:val="single"/>
        </w:rPr>
        <w:t xml:space="preserve">      </w:t>
      </w:r>
      <w:r>
        <w:rPr>
          <w:color w:val="000000"/>
          <w:szCs w:val="21"/>
          <w:highlight w:val="white"/>
        </w:rPr>
        <w:t>时前递交至</w:t>
      </w:r>
      <w:r>
        <w:rPr>
          <w:color w:val="000000"/>
          <w:szCs w:val="21"/>
          <w:highlight w:val="white"/>
          <w:u w:val="single"/>
        </w:rPr>
        <w:t xml:space="preserve">      </w:t>
      </w:r>
      <w:r>
        <w:rPr>
          <w:color w:val="000000"/>
          <w:szCs w:val="21"/>
          <w:highlight w:val="white"/>
        </w:rPr>
        <w:t>（详细地址）</w:t>
      </w:r>
      <w:r>
        <w:rPr>
          <w:rFonts w:hint="eastAsia"/>
          <w:color w:val="000000"/>
          <w:szCs w:val="21"/>
          <w:highlight w:val="white"/>
        </w:rPr>
        <w:t>或传真至</w:t>
      </w:r>
      <w:r>
        <w:rPr>
          <w:color w:val="000000"/>
          <w:szCs w:val="21"/>
          <w:highlight w:val="white"/>
          <w:u w:val="single"/>
        </w:rPr>
        <w:t xml:space="preserve">      </w:t>
      </w:r>
      <w:r>
        <w:rPr>
          <w:color w:val="000000"/>
          <w:szCs w:val="21"/>
          <w:highlight w:val="white"/>
        </w:rPr>
        <w:t>（</w:t>
      </w:r>
      <w:r>
        <w:rPr>
          <w:rFonts w:hint="eastAsia"/>
          <w:color w:val="000000"/>
          <w:szCs w:val="21"/>
          <w:highlight w:val="white"/>
        </w:rPr>
        <w:t>传真号码</w:t>
      </w:r>
      <w:r>
        <w:rPr>
          <w:color w:val="000000"/>
          <w:szCs w:val="21"/>
          <w:highlight w:val="white"/>
        </w:rPr>
        <w:t>）。</w:t>
      </w:r>
      <w:r>
        <w:rPr>
          <w:rFonts w:hint="eastAsia"/>
          <w:color w:val="000000"/>
          <w:szCs w:val="21"/>
          <w:highlight w:val="white"/>
        </w:rPr>
        <w:t>采用传真方式的，应在</w:t>
      </w:r>
      <w:r>
        <w:rPr>
          <w:color w:val="000000"/>
          <w:szCs w:val="21"/>
          <w:highlight w:val="white"/>
          <w:u w:val="single"/>
        </w:rPr>
        <w:t xml:space="preserve">      </w:t>
      </w:r>
      <w:r>
        <w:rPr>
          <w:rFonts w:hint="eastAsia"/>
          <w:color w:val="000000"/>
          <w:szCs w:val="21"/>
          <w:highlight w:val="white"/>
        </w:rPr>
        <w:t>年</w:t>
      </w:r>
      <w:r>
        <w:rPr>
          <w:color w:val="000000"/>
          <w:szCs w:val="21"/>
          <w:highlight w:val="white"/>
          <w:u w:val="single"/>
        </w:rPr>
        <w:t xml:space="preserve">      </w:t>
      </w:r>
      <w:r>
        <w:rPr>
          <w:rFonts w:hint="eastAsia"/>
          <w:color w:val="000000"/>
          <w:szCs w:val="21"/>
          <w:highlight w:val="white"/>
        </w:rPr>
        <w:t>月</w:t>
      </w:r>
      <w:r>
        <w:rPr>
          <w:color w:val="000000"/>
          <w:szCs w:val="21"/>
          <w:highlight w:val="white"/>
          <w:u w:val="single"/>
        </w:rPr>
        <w:t xml:space="preserve">      </w:t>
      </w:r>
      <w:r>
        <w:rPr>
          <w:rFonts w:hint="eastAsia"/>
          <w:color w:val="000000"/>
          <w:szCs w:val="21"/>
          <w:highlight w:val="white"/>
        </w:rPr>
        <w:t>日</w:t>
      </w:r>
      <w:r>
        <w:rPr>
          <w:color w:val="000000"/>
          <w:szCs w:val="21"/>
          <w:highlight w:val="white"/>
          <w:u w:val="single"/>
        </w:rPr>
        <w:t xml:space="preserve">      </w:t>
      </w:r>
      <w:r>
        <w:rPr>
          <w:rFonts w:hint="eastAsia"/>
          <w:color w:val="000000"/>
          <w:szCs w:val="21"/>
          <w:highlight w:val="white"/>
        </w:rPr>
        <w:t>时前将原件递交至</w:t>
      </w:r>
      <w:r>
        <w:rPr>
          <w:color w:val="000000"/>
          <w:szCs w:val="21"/>
          <w:highlight w:val="white"/>
          <w:u w:val="single"/>
        </w:rPr>
        <w:t xml:space="preserve">      </w:t>
      </w:r>
      <w:r>
        <w:rPr>
          <w:color w:val="000000"/>
          <w:szCs w:val="21"/>
          <w:highlight w:val="white"/>
        </w:rPr>
        <w:t>（详细</w:t>
      </w:r>
      <w:r>
        <w:rPr>
          <w:rFonts w:hint="eastAsia"/>
          <w:color w:val="000000"/>
          <w:szCs w:val="21"/>
          <w:highlight w:val="white"/>
        </w:rPr>
        <w:t>地址）。</w:t>
      </w: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highlight w:val="white"/>
        </w:rPr>
        <w:t xml:space="preserve">                               </w:t>
      </w:r>
      <w:r>
        <w:rPr>
          <w:rFonts w:hint="eastAsia"/>
          <w:color w:val="000000"/>
          <w:szCs w:val="21"/>
          <w:highlight w:val="white"/>
        </w:rPr>
        <w:t>评标委员会负责人</w:t>
      </w:r>
      <w:r>
        <w:rPr>
          <w:color w:val="000000"/>
          <w:szCs w:val="21"/>
          <w:highlight w:val="white"/>
        </w:rPr>
        <w:t>：</w:t>
      </w:r>
      <w:r>
        <w:rPr>
          <w:rFonts w:hint="eastAsia"/>
          <w:color w:val="000000"/>
          <w:szCs w:val="21"/>
          <w:highlight w:val="white"/>
          <w:u w:val="single"/>
        </w:rPr>
        <w:t xml:space="preserve">                 </w:t>
      </w:r>
      <w:r>
        <w:rPr>
          <w:rFonts w:hint="eastAsia"/>
          <w:color w:val="000000"/>
          <w:szCs w:val="21"/>
          <w:highlight w:val="white"/>
        </w:rPr>
        <w:t xml:space="preserve">   </w:t>
      </w:r>
      <w:r>
        <w:rPr>
          <w:color w:val="000000"/>
          <w:szCs w:val="21"/>
          <w:highlight w:val="white"/>
        </w:rPr>
        <w:t>（</w:t>
      </w:r>
      <w:r>
        <w:rPr>
          <w:rFonts w:hint="eastAsia"/>
          <w:color w:val="000000"/>
          <w:szCs w:val="21"/>
          <w:highlight w:val="white"/>
        </w:rPr>
        <w:t>签字</w:t>
      </w:r>
      <w:r>
        <w:rPr>
          <w:color w:val="000000"/>
          <w:szCs w:val="21"/>
          <w:highlight w:val="white"/>
        </w:rPr>
        <w:t>）</w:t>
      </w:r>
    </w:p>
    <w:p>
      <w:pPr>
        <w:spacing w:line="400" w:lineRule="exact"/>
        <w:rPr>
          <w:color w:val="000000"/>
          <w:szCs w:val="21"/>
        </w:rPr>
      </w:pPr>
      <w:r>
        <w:rPr>
          <w:rFonts w:hint="eastAsia"/>
          <w:color w:val="000000"/>
          <w:szCs w:val="21"/>
          <w:highlight w:val="white"/>
        </w:rPr>
        <w:t xml:space="preserve">                                          </w:t>
      </w:r>
    </w:p>
    <w:p>
      <w:pPr>
        <w:spacing w:line="400" w:lineRule="exact"/>
        <w:rPr>
          <w:color w:val="000000"/>
          <w:szCs w:val="21"/>
        </w:rPr>
      </w:pPr>
      <w:r>
        <w:rPr>
          <w:color w:val="000000"/>
          <w:szCs w:val="21"/>
          <w:highlight w:val="white"/>
        </w:rPr>
        <w:t xml:space="preserve">                                  </w:t>
      </w:r>
      <w:r>
        <w:rPr>
          <w:color w:val="000000"/>
          <w:szCs w:val="21"/>
          <w:highlight w:val="white"/>
          <w:u w:val="single"/>
        </w:rPr>
        <w:t xml:space="preserve">        </w:t>
      </w:r>
      <w:r>
        <w:rPr>
          <w:color w:val="000000"/>
          <w:szCs w:val="21"/>
          <w:highlight w:val="white"/>
        </w:rPr>
        <w:t xml:space="preserve"> 年 </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 xml:space="preserve">月 </w:t>
      </w:r>
      <w:r>
        <w:rPr>
          <w:color w:val="000000"/>
          <w:szCs w:val="21"/>
          <w:highlight w:val="white"/>
          <w:u w:val="single"/>
        </w:rPr>
        <w:t xml:space="preserve"> </w:t>
      </w:r>
      <w:r>
        <w:rPr>
          <w:rFonts w:hint="eastAsia"/>
          <w:color w:val="000000"/>
          <w:szCs w:val="21"/>
          <w:highlight w:val="white"/>
          <w:u w:val="single"/>
        </w:rPr>
        <w:t xml:space="preserve">      </w:t>
      </w:r>
      <w:r>
        <w:rPr>
          <w:color w:val="000000"/>
          <w:szCs w:val="21"/>
          <w:highlight w:val="white"/>
          <w:u w:val="single"/>
        </w:rPr>
        <w:t xml:space="preserve"> </w:t>
      </w:r>
      <w:r>
        <w:rPr>
          <w:color w:val="000000"/>
          <w:szCs w:val="21"/>
          <w:highlight w:val="white"/>
        </w:rPr>
        <w:t>日</w:t>
      </w:r>
    </w:p>
    <w:p>
      <w:pPr>
        <w:spacing w:line="400" w:lineRule="exact"/>
        <w:rPr>
          <w:color w:val="000000"/>
          <w:sz w:val="20"/>
          <w:szCs w:val="20"/>
        </w:rPr>
      </w:pPr>
    </w:p>
    <w:p>
      <w:pPr>
        <w:spacing w:line="400" w:lineRule="exact"/>
        <w:rPr>
          <w:color w:val="000000"/>
          <w:sz w:val="20"/>
          <w:szCs w:val="20"/>
        </w:rPr>
      </w:pPr>
      <w:r>
        <w:rPr>
          <w:color w:val="000000"/>
          <w:sz w:val="20"/>
          <w:szCs w:val="20"/>
          <w:highlight w:val="white"/>
        </w:rPr>
        <w:br w:type="page"/>
      </w:r>
    </w:p>
    <w:p>
      <w:pPr>
        <w:pStyle w:val="3"/>
        <w:spacing w:line="400" w:lineRule="exact"/>
        <w:rPr>
          <w:color w:val="000000"/>
          <w:sz w:val="27"/>
          <w:szCs w:val="27"/>
        </w:rPr>
      </w:pPr>
      <w:bookmarkStart w:id="141" w:name="_Toc49869997"/>
      <w:bookmarkStart w:id="142" w:name="_Toc256000029"/>
      <w:r>
        <w:rPr>
          <w:rFonts w:hint="eastAsia"/>
          <w:color w:val="000000"/>
          <w:sz w:val="27"/>
          <w:szCs w:val="27"/>
          <w:highlight w:val="white"/>
        </w:rPr>
        <w:t>附表二：投标文件澄清函（格式）</w:t>
      </w:r>
      <w:bookmarkEnd w:id="141"/>
      <w:bookmarkEnd w:id="142"/>
    </w:p>
    <w:p>
      <w:pPr>
        <w:spacing w:line="400" w:lineRule="exact"/>
        <w:jc w:val="center"/>
        <w:rPr>
          <w:rFonts w:ascii="黑体" w:eastAsia="黑体"/>
          <w:color w:val="000000"/>
          <w:sz w:val="27"/>
          <w:szCs w:val="27"/>
        </w:rPr>
      </w:pPr>
    </w:p>
    <w:p>
      <w:pPr>
        <w:spacing w:line="400" w:lineRule="exact"/>
        <w:jc w:val="center"/>
        <w:rPr>
          <w:rFonts w:ascii="黑体" w:eastAsia="黑体"/>
          <w:b/>
          <w:color w:val="000000"/>
          <w:sz w:val="23"/>
          <w:szCs w:val="21"/>
        </w:rPr>
      </w:pPr>
      <w:r>
        <w:rPr>
          <w:rFonts w:hint="eastAsia" w:ascii="黑体" w:eastAsia="黑体"/>
          <w:b/>
          <w:color w:val="000000"/>
          <w:sz w:val="23"/>
          <w:szCs w:val="21"/>
          <w:highlight w:val="white"/>
        </w:rPr>
        <w:t>投标文件澄清函（格式）</w:t>
      </w:r>
    </w:p>
    <w:p>
      <w:pPr>
        <w:spacing w:line="400" w:lineRule="exact"/>
        <w:jc w:val="center"/>
        <w:rPr>
          <w:rFonts w:ascii="黑体" w:eastAsia="黑体"/>
          <w:color w:val="000000"/>
          <w:szCs w:val="21"/>
        </w:rPr>
      </w:pPr>
    </w:p>
    <w:p>
      <w:pPr>
        <w:spacing w:line="400" w:lineRule="exact"/>
        <w:ind w:firstLine="3465" w:firstLineChars="1650"/>
        <w:rPr>
          <w:color w:val="000000"/>
          <w:szCs w:val="21"/>
        </w:rPr>
      </w:pPr>
      <w:r>
        <w:rPr>
          <w:rFonts w:hint="eastAsia"/>
          <w:color w:val="000000"/>
          <w:szCs w:val="21"/>
          <w:highlight w:val="white"/>
        </w:rPr>
        <w:t xml:space="preserve">编号： </w:t>
      </w:r>
    </w:p>
    <w:p>
      <w:pPr>
        <w:spacing w:line="400" w:lineRule="exact"/>
        <w:rPr>
          <w:color w:val="000000"/>
          <w:szCs w:val="21"/>
        </w:rPr>
      </w:pPr>
    </w:p>
    <w:p>
      <w:pPr>
        <w:spacing w:line="400" w:lineRule="exact"/>
        <w:rPr>
          <w:color w:val="000000"/>
          <w:szCs w:val="21"/>
        </w:rPr>
      </w:pPr>
      <w:r>
        <w:rPr>
          <w:color w:val="000000"/>
          <w:szCs w:val="21"/>
          <w:highlight w:val="white"/>
          <w:u w:val="single"/>
        </w:rPr>
        <w:t xml:space="preserve">           （</w:t>
      </w:r>
      <w:r>
        <w:rPr>
          <w:rFonts w:hint="eastAsia" w:ascii="仿宋_GB2312" w:eastAsia="仿宋_GB2312"/>
          <w:color w:val="000000"/>
          <w:szCs w:val="21"/>
          <w:highlight w:val="white"/>
        </w:rPr>
        <w:t>项目名称）</w:t>
      </w:r>
      <w:r>
        <w:rPr>
          <w:rFonts w:hint="eastAsia" w:ascii="仿宋_GB2312" w:eastAsia="仿宋_GB2312"/>
          <w:color w:val="000000"/>
          <w:szCs w:val="21"/>
          <w:highlight w:val="white"/>
          <w:u w:val="single"/>
        </w:rPr>
        <w:t xml:space="preserve">     （</w:t>
      </w:r>
      <w:r>
        <w:rPr>
          <w:rFonts w:hint="eastAsia" w:ascii="仿宋_GB2312" w:eastAsia="仿宋_GB2312"/>
          <w:color w:val="000000"/>
          <w:szCs w:val="21"/>
          <w:highlight w:val="white"/>
        </w:rPr>
        <w:t>标段名称</w:t>
      </w:r>
      <w:r>
        <w:rPr>
          <w:rFonts w:hint="eastAsia"/>
          <w:color w:val="000000"/>
          <w:szCs w:val="21"/>
          <w:highlight w:val="white"/>
        </w:rPr>
        <w:t>）</w:t>
      </w:r>
      <w:r>
        <w:rPr>
          <w:color w:val="000000"/>
          <w:szCs w:val="21"/>
          <w:highlight w:val="white"/>
        </w:rPr>
        <w:t>评标委员会：</w:t>
      </w:r>
    </w:p>
    <w:p>
      <w:pPr>
        <w:spacing w:line="400" w:lineRule="exact"/>
        <w:rPr>
          <w:color w:val="000000"/>
          <w:szCs w:val="21"/>
        </w:rPr>
      </w:pPr>
    </w:p>
    <w:p>
      <w:pPr>
        <w:spacing w:line="400" w:lineRule="exact"/>
        <w:rPr>
          <w:color w:val="000000"/>
          <w:szCs w:val="21"/>
        </w:rPr>
      </w:pPr>
      <w:r>
        <w:rPr>
          <w:color w:val="000000"/>
          <w:szCs w:val="21"/>
          <w:highlight w:val="white"/>
        </w:rPr>
        <w:t>　　</w:t>
      </w:r>
      <w:r>
        <w:rPr>
          <w:rFonts w:hint="eastAsia"/>
          <w:color w:val="000000"/>
          <w:szCs w:val="21"/>
          <w:highlight w:val="white"/>
        </w:rPr>
        <w:t>投标文件</w:t>
      </w:r>
      <w:r>
        <w:rPr>
          <w:color w:val="000000"/>
          <w:szCs w:val="21"/>
          <w:highlight w:val="white"/>
        </w:rPr>
        <w:t>澄清通知（编号：</w:t>
      </w:r>
      <w:r>
        <w:rPr>
          <w:color w:val="000000"/>
          <w:szCs w:val="21"/>
          <w:highlight w:val="white"/>
          <w:u w:val="single"/>
        </w:rPr>
        <w:t xml:space="preserve">        </w:t>
      </w:r>
      <w:r>
        <w:rPr>
          <w:color w:val="000000"/>
          <w:szCs w:val="21"/>
          <w:highlight w:val="white"/>
        </w:rPr>
        <w:t>）已收悉，现</w:t>
      </w:r>
      <w:r>
        <w:rPr>
          <w:rFonts w:hint="eastAsia"/>
          <w:color w:val="000000"/>
          <w:szCs w:val="21"/>
          <w:highlight w:val="white"/>
        </w:rPr>
        <w:t>就有关问题</w:t>
      </w:r>
      <w:r>
        <w:rPr>
          <w:color w:val="000000"/>
          <w:szCs w:val="21"/>
          <w:highlight w:val="white"/>
        </w:rPr>
        <w:t>澄清如下：</w:t>
      </w:r>
    </w:p>
    <w:p>
      <w:pPr>
        <w:spacing w:line="400" w:lineRule="exact"/>
        <w:rPr>
          <w:color w:val="000000"/>
          <w:szCs w:val="21"/>
        </w:rPr>
      </w:pPr>
      <w:r>
        <w:rPr>
          <w:color w:val="000000"/>
          <w:szCs w:val="21"/>
          <w:highlight w:val="white"/>
        </w:rPr>
        <w:t>　     1.</w:t>
      </w:r>
    </w:p>
    <w:p>
      <w:pPr>
        <w:spacing w:line="400" w:lineRule="exact"/>
        <w:rPr>
          <w:color w:val="000000"/>
          <w:szCs w:val="21"/>
        </w:rPr>
      </w:pPr>
      <w:r>
        <w:rPr>
          <w:color w:val="000000"/>
          <w:szCs w:val="21"/>
          <w:highlight w:val="white"/>
        </w:rPr>
        <w:t>　     2.</w:t>
      </w:r>
    </w:p>
    <w:p>
      <w:pPr>
        <w:spacing w:line="400" w:lineRule="exact"/>
        <w:rPr>
          <w:color w:val="000000"/>
          <w:szCs w:val="21"/>
        </w:rPr>
      </w:pPr>
      <w:r>
        <w:rPr>
          <w:color w:val="000000"/>
          <w:szCs w:val="21"/>
          <w:highlight w:val="white"/>
        </w:rPr>
        <w:t xml:space="preserve">　   </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xml:space="preserve">                       </w:t>
      </w:r>
    </w:p>
    <w:p>
      <w:pPr>
        <w:spacing w:line="400" w:lineRule="exact"/>
        <w:rPr>
          <w:color w:val="000000"/>
          <w:szCs w:val="21"/>
        </w:rPr>
      </w:pPr>
      <w:r>
        <w:rPr>
          <w:color w:val="000000"/>
          <w:szCs w:val="21"/>
          <w:highlight w:val="white"/>
        </w:rPr>
        <w:t xml:space="preserve">　 </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highlight w:val="white"/>
        </w:rPr>
        <w:t>　　　　　　　　　　　　　　　投标人：</w:t>
      </w:r>
      <w:r>
        <w:rPr>
          <w:color w:val="000000"/>
          <w:szCs w:val="21"/>
          <w:highlight w:val="white"/>
          <w:u w:val="single"/>
        </w:rPr>
        <w:t xml:space="preserve">               </w:t>
      </w:r>
      <w:r>
        <w:rPr>
          <w:color w:val="000000"/>
          <w:szCs w:val="21"/>
          <w:highlight w:val="white"/>
        </w:rPr>
        <w:t>（盖单位章）</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法定代表人或其</w:t>
      </w:r>
      <w:r>
        <w:rPr>
          <w:rFonts w:hint="eastAsia"/>
          <w:color w:val="000000"/>
          <w:szCs w:val="21"/>
          <w:highlight w:val="white"/>
        </w:rPr>
        <w:t>委托</w:t>
      </w:r>
      <w:r>
        <w:rPr>
          <w:color w:val="000000"/>
          <w:szCs w:val="21"/>
          <w:highlight w:val="white"/>
        </w:rPr>
        <w:t>代理人：</w:t>
      </w:r>
      <w:r>
        <w:rPr>
          <w:color w:val="000000"/>
          <w:szCs w:val="21"/>
          <w:highlight w:val="white"/>
          <w:u w:val="single"/>
        </w:rPr>
        <w:t xml:space="preserve">          </w:t>
      </w:r>
      <w:r>
        <w:rPr>
          <w:color w:val="000000"/>
          <w:szCs w:val="21"/>
          <w:highlight w:val="white"/>
        </w:rPr>
        <w:t>（签字）</w:t>
      </w:r>
    </w:p>
    <w:p>
      <w:pPr>
        <w:spacing w:line="400" w:lineRule="exact"/>
        <w:rPr>
          <w:color w:val="000000"/>
          <w:szCs w:val="21"/>
        </w:rPr>
      </w:pPr>
      <w:r>
        <w:rPr>
          <w:color w:val="000000"/>
          <w:szCs w:val="21"/>
          <w:highlight w:val="white"/>
        </w:rPr>
        <w:t>　　　　　　　　　　　　　　　</w:t>
      </w:r>
    </w:p>
    <w:p>
      <w:pPr>
        <w:spacing w:line="400" w:lineRule="exact"/>
        <w:rPr>
          <w:color w:val="000000"/>
          <w:szCs w:val="21"/>
        </w:rPr>
      </w:pPr>
      <w:r>
        <w:rPr>
          <w:color w:val="000000"/>
          <w:szCs w:val="21"/>
          <w:highlight w:val="white"/>
        </w:rPr>
        <w:t xml:space="preserve">　　　　　　　　　　　　　　　        </w:t>
      </w:r>
      <w:r>
        <w:rPr>
          <w:color w:val="000000"/>
          <w:szCs w:val="21"/>
          <w:highlight w:val="white"/>
          <w:u w:val="single"/>
        </w:rPr>
        <w:t xml:space="preserve">         </w:t>
      </w:r>
      <w:r>
        <w:rPr>
          <w:color w:val="000000"/>
          <w:szCs w:val="21"/>
          <w:highlight w:val="white"/>
        </w:rPr>
        <w:t>年</w:t>
      </w:r>
      <w:r>
        <w:rPr>
          <w:color w:val="000000"/>
          <w:szCs w:val="21"/>
          <w:highlight w:val="white"/>
          <w:u w:val="single"/>
        </w:rPr>
        <w:t xml:space="preserve">      </w:t>
      </w:r>
      <w:r>
        <w:rPr>
          <w:color w:val="000000"/>
          <w:szCs w:val="21"/>
          <w:highlight w:val="white"/>
        </w:rPr>
        <w:t>月</w:t>
      </w:r>
      <w:r>
        <w:rPr>
          <w:color w:val="000000"/>
          <w:szCs w:val="21"/>
          <w:highlight w:val="white"/>
          <w:u w:val="single"/>
        </w:rPr>
        <w:t xml:space="preserve">      </w:t>
      </w:r>
      <w:r>
        <w:rPr>
          <w:color w:val="000000"/>
          <w:szCs w:val="21"/>
          <w:highlight w:val="white"/>
        </w:rPr>
        <w:t>日</w:t>
      </w:r>
    </w:p>
    <w:p>
      <w:pPr>
        <w:spacing w:line="400" w:lineRule="exact"/>
        <w:rPr>
          <w:color w:val="000000"/>
          <w:szCs w:val="21"/>
        </w:rPr>
      </w:pPr>
    </w:p>
    <w:p>
      <w:pPr>
        <w:spacing w:line="400" w:lineRule="exact"/>
        <w:rPr>
          <w:color w:val="000000"/>
          <w:szCs w:val="21"/>
        </w:rPr>
      </w:pPr>
    </w:p>
    <w:p>
      <w:pPr>
        <w:spacing w:line="400" w:lineRule="exact"/>
        <w:rPr>
          <w:color w:val="000000"/>
          <w:sz w:val="20"/>
          <w:szCs w:val="20"/>
        </w:rPr>
      </w:pPr>
    </w:p>
    <w:p>
      <w:pPr>
        <w:spacing w:line="400" w:lineRule="exact"/>
        <w:rPr>
          <w:color w:val="000000"/>
          <w:sz w:val="20"/>
          <w:szCs w:val="20"/>
        </w:rPr>
      </w:pPr>
    </w:p>
    <w:p>
      <w:pPr>
        <w:spacing w:line="400" w:lineRule="exact"/>
        <w:rPr>
          <w:color w:val="000000"/>
          <w:sz w:val="20"/>
          <w:szCs w:val="20"/>
        </w:rPr>
      </w:pPr>
    </w:p>
    <w:p>
      <w:pPr>
        <w:spacing w:line="400" w:lineRule="exact"/>
        <w:rPr>
          <w:color w:val="000000"/>
          <w:sz w:val="20"/>
          <w:szCs w:val="20"/>
        </w:rPr>
      </w:pPr>
    </w:p>
    <w:p>
      <w:pPr>
        <w:spacing w:line="400" w:lineRule="exact"/>
        <w:ind w:firstLine="400" w:firstLineChars="200"/>
        <w:rPr>
          <w:color w:val="000000"/>
          <w:sz w:val="20"/>
          <w:szCs w:val="20"/>
        </w:rPr>
      </w:pPr>
    </w:p>
    <w:p>
      <w:pPr>
        <w:pStyle w:val="2"/>
        <w:spacing w:before="120" w:after="120" w:line="400" w:lineRule="exact"/>
        <w:jc w:val="center"/>
        <w:rPr>
          <w:rFonts w:ascii="黑体" w:hAnsi="黑体" w:eastAsia="黑体"/>
          <w:b w:val="0"/>
          <w:bCs w:val="0"/>
          <w:color w:val="000000"/>
          <w:sz w:val="31"/>
          <w:szCs w:val="31"/>
        </w:rPr>
      </w:pPr>
      <w:bookmarkStart w:id="143" w:name="_Toc256000031"/>
      <w:bookmarkStart w:id="144" w:name="_Toc49869999"/>
      <w:r>
        <w:rPr>
          <w:rFonts w:hint="eastAsia" w:ascii="黑体" w:hAnsi="黑体" w:eastAsia="黑体"/>
          <w:bCs w:val="0"/>
          <w:color w:val="000000"/>
          <w:sz w:val="31"/>
          <w:szCs w:val="31"/>
          <w:highlight w:val="white"/>
        </w:rPr>
        <w:t>第四章 合同条款及格式</w:t>
      </w:r>
      <w:bookmarkEnd w:id="143"/>
      <w:bookmarkEnd w:id="144"/>
    </w:p>
    <w:p>
      <w:pPr>
        <w:rPr>
          <w:highlight w:val="red"/>
        </w:rPr>
      </w:pPr>
      <w:bookmarkStart w:id="145" w:name="EBeabbe39b5933463e8fb010377b73f354"/>
    </w:p>
    <w:p>
      <w:pPr>
        <w:pStyle w:val="67"/>
        <w:rPr>
          <w:rFonts w:ascii="宋体" w:hAnsi="宋体" w:eastAsia="宋体" w:cs="宋体"/>
          <w:kern w:val="2"/>
          <w:sz w:val="21"/>
        </w:rPr>
      </w:pPr>
    </w:p>
    <w:p>
      <w:pPr>
        <w:pStyle w:val="70"/>
        <w:jc w:val="center"/>
        <w:rPr>
          <w:rFonts w:ascii="宋体" w:hAnsi="宋体" w:eastAsia="宋体" w:cs="宋体"/>
          <w:kern w:val="2"/>
        </w:rPr>
      </w:pPr>
      <w:bookmarkStart w:id="146" w:name="_Toc222029501"/>
      <w:bookmarkStart w:id="147" w:name="_Toc229305361"/>
      <w:bookmarkStart w:id="148" w:name="_Toc222031003"/>
      <w:bookmarkStart w:id="149" w:name="_Toc256000032"/>
      <w:bookmarkStart w:id="150" w:name="_Toc222033852"/>
      <w:bookmarkStart w:id="151" w:name="_Toc221950661"/>
      <w:bookmarkStart w:id="152" w:name="_Toc222032670"/>
      <w:bookmarkStart w:id="153" w:name="_Toc145666797"/>
      <w:bookmarkStart w:id="154" w:name="_Toc221948339"/>
      <w:r>
        <w:rPr>
          <w:rFonts w:hint="eastAsia" w:ascii="宋体" w:hAnsi="宋体" w:eastAsia="宋体" w:cs="宋体"/>
          <w:kern w:val="2"/>
        </w:rPr>
        <w:t>第一节通用合同条款</w:t>
      </w:r>
      <w:bookmarkEnd w:id="146"/>
      <w:bookmarkEnd w:id="147"/>
      <w:bookmarkEnd w:id="148"/>
      <w:bookmarkEnd w:id="149"/>
      <w:bookmarkEnd w:id="150"/>
      <w:bookmarkEnd w:id="151"/>
      <w:bookmarkEnd w:id="152"/>
      <w:bookmarkEnd w:id="153"/>
      <w:bookmarkEnd w:id="154"/>
    </w:p>
    <w:p>
      <w:pPr>
        <w:pStyle w:val="72"/>
        <w:spacing w:line="360" w:lineRule="auto"/>
        <w:rPr>
          <w:rFonts w:ascii="宋体" w:hAnsi="宋体" w:eastAsia="宋体" w:cs="宋体"/>
          <w:kern w:val="2"/>
        </w:rPr>
      </w:pPr>
      <w:bookmarkStart w:id="155" w:name="_Toc221950662"/>
      <w:bookmarkStart w:id="156" w:name="_Toc222032671"/>
      <w:bookmarkStart w:id="157" w:name="_Toc222029502"/>
      <w:bookmarkStart w:id="158" w:name="_Toc222033853"/>
      <w:bookmarkStart w:id="159" w:name="_Toc229305362"/>
      <w:bookmarkStart w:id="160" w:name="_Toc222031004"/>
      <w:r>
        <w:rPr>
          <w:rFonts w:hint="eastAsia" w:ascii="宋体" w:hAnsi="宋体" w:eastAsia="宋体" w:cs="宋体"/>
          <w:kern w:val="2"/>
        </w:rPr>
        <w:t>1.一般约定</w:t>
      </w:r>
      <w:bookmarkEnd w:id="155"/>
      <w:bookmarkEnd w:id="156"/>
      <w:bookmarkEnd w:id="157"/>
      <w:bookmarkEnd w:id="158"/>
      <w:bookmarkEnd w:id="159"/>
      <w:bookmarkEnd w:id="160"/>
    </w:p>
    <w:p>
      <w:pPr>
        <w:pStyle w:val="72"/>
        <w:spacing w:line="360" w:lineRule="auto"/>
        <w:rPr>
          <w:rFonts w:ascii="宋体" w:hAnsi="宋体" w:eastAsia="宋体" w:cs="宋体"/>
          <w:kern w:val="2"/>
          <w:sz w:val="24"/>
          <w:szCs w:val="24"/>
        </w:rPr>
      </w:pPr>
      <w:bookmarkStart w:id="161" w:name="_Toc221950667"/>
      <w:r>
        <w:rPr>
          <w:rFonts w:hint="eastAsia" w:ascii="宋体" w:hAnsi="宋体" w:eastAsia="宋体" w:cs="宋体"/>
          <w:kern w:val="2"/>
          <w:sz w:val="24"/>
          <w:szCs w:val="24"/>
        </w:rPr>
        <w:t>1.1词语定义</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通用合同条款、专用合同条款中的下列词语应具有本款所赋予的含义。</w:t>
      </w:r>
    </w:p>
    <w:p>
      <w:pPr>
        <w:pStyle w:val="67"/>
        <w:spacing w:line="360" w:lineRule="auto"/>
        <w:ind w:firstLine="420" w:firstLineChars="200"/>
        <w:rPr>
          <w:rFonts w:ascii="宋体" w:hAnsi="宋体" w:eastAsia="宋体" w:cs="宋体"/>
          <w:kern w:val="2"/>
          <w:sz w:val="21"/>
        </w:rPr>
      </w:pPr>
      <w:r>
        <w:rPr>
          <w:rFonts w:hint="eastAsia" w:ascii="宋体" w:hAnsi="宋体" w:eastAsia="宋体" w:cs="宋体"/>
          <w:kern w:val="2"/>
          <w:sz w:val="21"/>
        </w:rPr>
        <w:t>1.1.1合同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1.1.1.1合同文件（或称合同）：指合同协议书、中标通知书、投标函及投标函附录、专用合同条款、通用合同条款、技术标准和要求、图纸、已标价工程量清单，以及其他合同文件。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1.1.1.2合同协议书：指第1.5款所指的合同协议书。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1.1.1.3中标通知书：指发包人通知承包人中标的函件。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1.1.1.4投标函：指构成合同文件组成部分的由承包人填写并签署的投标函。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1.1.1.5投标函附录：指附在投标函后构成合同文件的投标函附录。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1.1.1.6</w:t>
      </w:r>
      <w:bookmarkEnd w:id="161"/>
      <w:r>
        <w:rPr>
          <w:rFonts w:hint="eastAsia" w:ascii="宋体" w:hAnsi="宋体" w:eastAsia="宋体" w:cs="宋体"/>
          <w:kern w:val="2"/>
          <w:sz w:val="21"/>
          <w:szCs w:val="21"/>
        </w:rPr>
        <w:t>技术标准和要求：指构成合同文件组成部分的名为技术标准和要求（合同技术条款）的文件，包括合同双方当事人约定对其所作的修改或补充。</w:t>
      </w:r>
    </w:p>
    <w:p>
      <w:pPr>
        <w:pStyle w:val="67"/>
        <w:spacing w:line="360" w:lineRule="auto"/>
        <w:ind w:firstLine="420" w:firstLineChars="200"/>
        <w:rPr>
          <w:rFonts w:ascii="宋体" w:hAnsi="宋体" w:eastAsia="宋体" w:cs="宋体"/>
          <w:kern w:val="2"/>
          <w:sz w:val="21"/>
          <w:szCs w:val="21"/>
        </w:rPr>
      </w:pPr>
      <w:bookmarkStart w:id="162" w:name="_Toc221950668"/>
      <w:r>
        <w:rPr>
          <w:rFonts w:hint="eastAsia" w:ascii="宋体" w:hAnsi="宋体" w:eastAsia="宋体" w:cs="宋体"/>
          <w:kern w:val="2"/>
          <w:sz w:val="21"/>
          <w:szCs w:val="21"/>
        </w:rPr>
        <w:t>1.1.1.7图纸：指列入合同的招标图纸、投标图纸和发包人按合同约定向承包人提供的施工图纸和其他图纸(包括配套说明和有关资料)。</w:t>
      </w:r>
      <w:bookmarkEnd w:id="162"/>
      <w:r>
        <w:rPr>
          <w:rFonts w:hint="eastAsia" w:ascii="宋体" w:hAnsi="宋体" w:eastAsia="宋体" w:cs="宋体"/>
          <w:kern w:val="2"/>
          <w:sz w:val="21"/>
          <w:szCs w:val="21"/>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1.1.1.8己标价工程量清单：指构成合同文件组成部分的由承包人按照规定的格式和要求填写并标明价格的工程量清单。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1.1.1.9其他合同文件：指经合同双方当事人确认构成合同文件的其他文件。</w:t>
      </w:r>
    </w:p>
    <w:p>
      <w:pPr>
        <w:pStyle w:val="67"/>
        <w:spacing w:line="360" w:lineRule="auto"/>
        <w:ind w:firstLine="420" w:firstLineChars="200"/>
        <w:rPr>
          <w:rFonts w:ascii="宋体" w:hAnsi="宋体" w:eastAsia="宋体" w:cs="宋体"/>
          <w:kern w:val="2"/>
          <w:sz w:val="21"/>
          <w:szCs w:val="21"/>
        </w:rPr>
      </w:pPr>
      <w:bookmarkStart w:id="163" w:name="_Toc221950669"/>
      <w:r>
        <w:rPr>
          <w:rFonts w:hint="eastAsia" w:ascii="宋体" w:hAnsi="宋体" w:eastAsia="宋体" w:cs="宋体"/>
          <w:kern w:val="2"/>
          <w:sz w:val="21"/>
          <w:szCs w:val="21"/>
        </w:rPr>
        <w:t>1.1.2</w:t>
      </w:r>
      <w:bookmarkEnd w:id="163"/>
      <w:r>
        <w:rPr>
          <w:rFonts w:hint="eastAsia" w:ascii="宋体" w:hAnsi="宋体" w:eastAsia="宋体" w:cs="宋体"/>
          <w:kern w:val="2"/>
          <w:sz w:val="21"/>
          <w:szCs w:val="21"/>
        </w:rPr>
        <w:t>合同当事人和人员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1.1.2.1合同当事人：指发包人和（或）承包人。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1.1.2.2发包人：指专用合同条款中指明并与承包人在合同协议书中签字的当事人。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1.1.2.3承包人：指专用合同条款中指明并与发包人在合同协议书中签字的当事人。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1.1.2.4承包人项目经理：指承包人派驻施工场地的全权负责人。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1.1.2.5分包人：指专用合同条款中指明的，从承包人处分包合同中某一部分工程，并与其签订分包合同的分包人。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1.1.2.6监理人：指在专用合同条款中指明的，受发包人委托对合同履行实施管理的法人或其他组织。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1.1.2.7总监理工程师（总监）：指由监理人委派常驻施工场地对合同履行实施管理的全权负责人。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1.1.3工程和设备</w:t>
      </w:r>
    </w:p>
    <w:p>
      <w:pPr>
        <w:pStyle w:val="67"/>
        <w:spacing w:line="360" w:lineRule="auto"/>
        <w:ind w:firstLine="420" w:firstLineChars="200"/>
        <w:rPr>
          <w:rFonts w:ascii="宋体" w:hAnsi="宋体" w:eastAsia="宋体" w:cs="宋体"/>
          <w:kern w:val="2"/>
          <w:sz w:val="21"/>
          <w:szCs w:val="21"/>
        </w:rPr>
      </w:pPr>
      <w:bookmarkStart w:id="164" w:name="_Toc221950674"/>
      <w:r>
        <w:rPr>
          <w:rFonts w:hint="eastAsia" w:ascii="宋体" w:hAnsi="宋体" w:eastAsia="宋体" w:cs="宋体"/>
          <w:kern w:val="2"/>
          <w:sz w:val="21"/>
          <w:szCs w:val="21"/>
        </w:rPr>
        <w:t>1.1.3.1工程：指永久工程和（或）临时工程。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1.1.3.2永久工程：指按合同约定建造并移交给发包人的工程，包括工程设备。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1.1.3.3临时工程：指为完成合同约定的永久工程所修建的各类临时性工程，不包括施工设备。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1.1.3.4单位工程：指专用合同条款中指明特定范围的永久工程。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1.1.3.5工程设备：指构成或计划构成永久工程一部分的机电设备、金属结构设备、仪器装置及其他类似的设备和装置。</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1.1.3.6施工设备：指为完成合同约定的各项工作所需的设备、器具和其他物品，不包括临时工程和材料。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1.1.3.7临时设施：指为完成合同约定的各项工作所服务的临时性生产和生活设施。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1.1.3.8承包人设备：指承包人自带的施工设备。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1.1.3.9施工场地（或称工地、现场）：指用于合同工程施工的场所，以及在合同中指定作为施工场地组成部分的其他场所，包括永久占地和临时占地。</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1.1.3.10永久占地：指发包人为建设本合同工程永久征用的场地。</w:t>
      </w:r>
      <w:bookmarkEnd w:id="164"/>
    </w:p>
    <w:p>
      <w:pPr>
        <w:pStyle w:val="67"/>
        <w:spacing w:line="360" w:lineRule="auto"/>
        <w:ind w:firstLine="420" w:firstLineChars="200"/>
        <w:rPr>
          <w:rFonts w:ascii="宋体" w:hAnsi="宋体" w:eastAsia="宋体" w:cs="宋体"/>
          <w:kern w:val="2"/>
          <w:sz w:val="21"/>
          <w:szCs w:val="21"/>
        </w:rPr>
      </w:pPr>
      <w:bookmarkStart w:id="165" w:name="_Toc221950675"/>
      <w:r>
        <w:rPr>
          <w:rFonts w:hint="eastAsia" w:ascii="宋体" w:hAnsi="宋体" w:eastAsia="宋体" w:cs="宋体"/>
          <w:kern w:val="2"/>
          <w:sz w:val="21"/>
          <w:szCs w:val="21"/>
        </w:rPr>
        <w:t>1.1.3.11临时占地：指发包人为建设本合同工程临时征用，承包人在完工后须按合同要求退还的场地</w:t>
      </w:r>
      <w:bookmarkEnd w:id="165"/>
      <w:r>
        <w:rPr>
          <w:rFonts w:hint="eastAsia" w:ascii="宋体" w:hAnsi="宋体" w:eastAsia="宋体" w:cs="宋体"/>
          <w:kern w:val="2"/>
          <w:sz w:val="21"/>
          <w:szCs w:val="21"/>
        </w:rPr>
        <w:t>。</w:t>
      </w:r>
    </w:p>
    <w:p>
      <w:pPr>
        <w:pStyle w:val="67"/>
        <w:spacing w:line="360" w:lineRule="auto"/>
        <w:ind w:firstLine="420" w:firstLineChars="200"/>
        <w:rPr>
          <w:rFonts w:ascii="宋体" w:hAnsi="宋体" w:eastAsia="宋体" w:cs="宋体"/>
          <w:kern w:val="2"/>
          <w:sz w:val="21"/>
          <w:szCs w:val="21"/>
        </w:rPr>
      </w:pPr>
      <w:bookmarkStart w:id="166" w:name="_Toc221950676"/>
      <w:r>
        <w:rPr>
          <w:rFonts w:hint="eastAsia" w:ascii="宋体" w:hAnsi="宋体" w:eastAsia="宋体" w:cs="宋体"/>
          <w:kern w:val="2"/>
          <w:sz w:val="21"/>
          <w:szCs w:val="21"/>
        </w:rPr>
        <w:t>1.1.4</w:t>
      </w:r>
      <w:bookmarkEnd w:id="166"/>
      <w:r>
        <w:rPr>
          <w:rFonts w:hint="eastAsia" w:ascii="宋体" w:hAnsi="宋体" w:eastAsia="宋体" w:cs="宋体"/>
          <w:kern w:val="2"/>
          <w:sz w:val="21"/>
          <w:szCs w:val="21"/>
        </w:rPr>
        <w:t>日期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1.1.4.1开工通知：指监理人按第11.1款通知承包人开工的函件。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1.1.4.2开工日期：指监理人按第11.1款发出的开工通知中写明的开工日期。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1.1.4.3工期：指承包人在投标函中承诺的完成合同工程所需的期限，包括按第11.3款、第11.4款和第11.6款约定所作的变更。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1.1.4.4竣工日期：即合同工程完工日期，指第1.1.4.3目约定工期届满时的日期。实际完工日期以合同工程完工证书中写明的日期为准。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1.1.4.5缺陷责任期：即工程质量保修期，指履行第19.2款约定的缺陷责任的期限，包括根据第19.3款约定所作的延长，具体期限由专用合同条款约定。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1.1.4.6基准日期：指投标截止时间前28天的日期。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1.1.4.7天：除特别指明外，指日历天。合同中按天计算时间的，开始当天不计入，从次日开始计算。期限最后一天的截止时间为当天24:00。</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1.1.5合同价格和费用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1.1.5.1签约合同价：指签定合同时合同协议书中写明的，包括了暂列金额、暂估价的合同总金额。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1.1.5.2合同价格：指承包人按合同约定完成了包括缺陷责任期内的全部承包工作后，发包人应付给承包人的金额，包括在履行合同过程中按合同约定进行的变更和调整。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1.1.5.3费用：指为履行合同所发生的或将要发生的所有合理开支，包括管理费和应分摊的其他费用，但不包括利润。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1.1.5.4暂列金额：指已标价工程量清单中所列的暂列金额，用于在签订协议书时尚未确定或不可预见变更的施工及其所需材料、工程设备、服务等的金额，包括以计日工方式支付的金额。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1.1.5.5暂估价：指发包人在工程量清单中给定的用于支付必然发生但暂时不能确定价格的材料、设备以及专业工程的金额。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1.1.5.6计日工：指对零星工作采取的一种计价方式，按合同中的计日工子目及其单价计价付款。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1.1.5.7质量保证金（或称保留金）：指按第17:41项约定用于保证在缺陷责任期内履行缺陷修复义务的金额。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1.1.6其他</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1.1.6.1书面形式：指合同文件、信函、电报、传真等可以有形地表现所载内容的形式。</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1.2语言文字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除专用术语外，合同使用的语言文字为中文。必要时专用术语应附有中文注释。</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1.3法律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适用于合同的法律包括中华人民共和国法律、行政法规、部门规章，以及工程所在地的地方法规、自治条例、单行条例和地方政府规章。</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1.4合同文件的优先顺序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组成合同的各项文件应互相解释，互为说明。除专用合同条款另有约定外，解释合同文件的优先顺序如下：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(l）合同协议书；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(2）中标通知书；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(3）投标函及投标函附录；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(4）专用合同条款；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(5）通用合同条款；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(6）技术标准和要求；</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(7）图纸；</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(8）已标价工程量清单；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(9）其他合同文件。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1.5合同协议书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承包人按中标通知书规定的时间与发包人签订合同协议书。除法律另有规定或合同另有约定外，发包人和承包人的法定代表人或其委托代理人在合同协议书上签字并盖单位章后，合同生效。</w:t>
      </w:r>
    </w:p>
    <w:p>
      <w:pPr>
        <w:pStyle w:val="72"/>
        <w:spacing w:line="360" w:lineRule="auto"/>
        <w:rPr>
          <w:rFonts w:ascii="宋体" w:hAnsi="宋体" w:eastAsia="宋体" w:cs="宋体"/>
          <w:kern w:val="2"/>
          <w:sz w:val="24"/>
          <w:szCs w:val="24"/>
        </w:rPr>
      </w:pPr>
      <w:bookmarkStart w:id="167" w:name="_Toc221950693"/>
      <w:r>
        <w:rPr>
          <w:rFonts w:hint="eastAsia" w:ascii="宋体" w:hAnsi="宋体" w:eastAsia="宋体" w:cs="宋体"/>
          <w:kern w:val="2"/>
          <w:sz w:val="24"/>
          <w:szCs w:val="24"/>
        </w:rPr>
        <w:t>1.6图纸和承包人文件</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1.6.1</w:t>
      </w:r>
      <w:bookmarkEnd w:id="167"/>
      <w:r>
        <w:rPr>
          <w:rFonts w:hint="eastAsia" w:ascii="宋体" w:hAnsi="宋体" w:eastAsia="宋体" w:cs="宋体"/>
          <w:kern w:val="2"/>
          <w:sz w:val="21"/>
          <w:szCs w:val="21"/>
        </w:rPr>
        <w:t>图纸的提供</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发包人应按技术标准和要求（合同技术条款）约定的期限和数量将施工图纸以及其它图纸（包括配套说明和有关资料）提供给承包人。由于发包人未按时提供图纸造成工期延误的，按第11.3款的约定办理。</w:t>
      </w:r>
    </w:p>
    <w:p>
      <w:pPr>
        <w:pStyle w:val="67"/>
        <w:spacing w:line="360" w:lineRule="auto"/>
        <w:ind w:right="248" w:firstLine="420" w:firstLineChars="200"/>
        <w:rPr>
          <w:rFonts w:ascii="宋体" w:hAnsi="宋体" w:eastAsia="宋体" w:cs="宋体"/>
          <w:sz w:val="19"/>
          <w:szCs w:val="19"/>
        </w:rPr>
      </w:pPr>
      <w:bookmarkStart w:id="168" w:name="_Toc221950695"/>
      <w:r>
        <w:rPr>
          <w:rFonts w:hint="eastAsia" w:ascii="宋体" w:hAnsi="宋体" w:eastAsia="宋体" w:cs="宋体"/>
          <w:kern w:val="2"/>
          <w:sz w:val="21"/>
          <w:szCs w:val="21"/>
        </w:rPr>
        <w:t>1.6.2</w:t>
      </w:r>
      <w:bookmarkEnd w:id="168"/>
      <w:r>
        <w:rPr>
          <w:rFonts w:hint="eastAsia" w:ascii="宋体" w:hAnsi="宋体" w:eastAsia="宋体" w:cs="宋体"/>
          <w:kern w:val="2"/>
          <w:sz w:val="21"/>
          <w:szCs w:val="21"/>
        </w:rPr>
        <w:t>承包人提供的文件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承包人提供的文件应按技术标准和要求（合同技术条款）约定的期限和数量提供给监理人。监理人应按技术标准和要求（合同技术条款）约定的期限批复承包人。</w:t>
      </w:r>
    </w:p>
    <w:p>
      <w:pPr>
        <w:pStyle w:val="67"/>
        <w:spacing w:line="360" w:lineRule="auto"/>
        <w:ind w:right="248" w:firstLine="420" w:firstLineChars="200"/>
        <w:rPr>
          <w:rFonts w:ascii="宋体" w:hAnsi="宋体" w:eastAsia="宋体" w:cs="宋体"/>
          <w:sz w:val="19"/>
          <w:szCs w:val="19"/>
        </w:rPr>
      </w:pPr>
      <w:bookmarkStart w:id="169" w:name="_Toc221950697"/>
      <w:r>
        <w:rPr>
          <w:rFonts w:hint="eastAsia" w:ascii="宋体" w:hAnsi="宋体" w:eastAsia="宋体" w:cs="宋体"/>
          <w:kern w:val="2"/>
          <w:sz w:val="21"/>
          <w:szCs w:val="21"/>
        </w:rPr>
        <w:t>1.6.3</w:t>
      </w:r>
      <w:bookmarkEnd w:id="169"/>
      <w:r>
        <w:rPr>
          <w:rFonts w:hint="eastAsia" w:ascii="宋体" w:hAnsi="宋体" w:eastAsia="宋体" w:cs="宋体"/>
          <w:kern w:val="2"/>
          <w:sz w:val="21"/>
          <w:szCs w:val="21"/>
        </w:rPr>
        <w:t>图纸的修改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1.6.4图纸的错误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承包人发现发包人提供的图纸存在明显错误或疏忽，应及时通知监理人。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1.6.5图纸和承包人文件的保管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监理人和承包人均应在施工场地各保存一套完整的包含第1.6.1项、第1.6.2项、第1.6.3项约定内容的图纸和承包人文件。</w:t>
      </w:r>
    </w:p>
    <w:p>
      <w:pPr>
        <w:pStyle w:val="72"/>
        <w:spacing w:line="360" w:lineRule="auto"/>
        <w:rPr>
          <w:rFonts w:ascii="宋体" w:hAnsi="宋体" w:eastAsia="宋体" w:cs="宋体"/>
          <w:kern w:val="2"/>
          <w:sz w:val="24"/>
          <w:szCs w:val="24"/>
        </w:rPr>
      </w:pPr>
      <w:bookmarkStart w:id="170" w:name="_Toc221950701"/>
      <w:r>
        <w:rPr>
          <w:rFonts w:hint="eastAsia" w:ascii="宋体" w:hAnsi="宋体" w:eastAsia="宋体" w:cs="宋体"/>
          <w:kern w:val="2"/>
          <w:sz w:val="24"/>
          <w:szCs w:val="24"/>
        </w:rPr>
        <w:t>1.7联络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1.7.1与合同有关的通知、批准、证明、证书、指示、要求、请求、同意、意见、确定和决定等，均应采用书面形式。</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1.7.2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1.7.3来往函件均应按合同约定的期限及时发出和答复，不得无故扣压和拖延，亦不得无故拒收。否则，由此造成的后果由责任方负责。</w:t>
      </w:r>
      <w:bookmarkEnd w:id="170"/>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1.8转让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除合同另有约定外，未经对方当事人同意，一方当事人不得将合同权利全部或部分转让给第三人，也不得全部或部分转移合同义务。</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1.9严禁贿赂</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合同双方当事人不得以贿赂或变相贿赂的方式，谋取不当利益或损害对方权益。因贿赂造成对方损失的，行为人应赔偿损失，并承担相应的法律责任。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1.10化石、文物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1.10.2承包人发现文物后不及时报告或隐瞒不报，致使文物丢失或损坏的，应赔偿损失，并承担相应的法律责任。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1.11专利技术</w:t>
      </w:r>
    </w:p>
    <w:p>
      <w:pPr>
        <w:pStyle w:val="67"/>
        <w:spacing w:line="360" w:lineRule="auto"/>
        <w:ind w:firstLine="420" w:firstLineChars="200"/>
        <w:rPr>
          <w:rFonts w:ascii="宋体" w:hAnsi="宋体" w:eastAsia="宋体" w:cs="宋体"/>
          <w:kern w:val="2"/>
          <w:sz w:val="21"/>
          <w:szCs w:val="21"/>
        </w:rPr>
      </w:pPr>
      <w:bookmarkStart w:id="171" w:name="_Toc221950710"/>
      <w:r>
        <w:rPr>
          <w:rFonts w:hint="eastAsia" w:ascii="宋体" w:hAnsi="宋体" w:eastAsia="宋体" w:cs="宋体"/>
          <w:kern w:val="2"/>
          <w:sz w:val="21"/>
          <w:szCs w:val="21"/>
        </w:rPr>
        <w:t>1.11.1承包人在使用任何材料、承包人设备、工程设备或采用施工工艺时，因侵犯专利权或其他知识产权所引起的责任，由承包人承担，但由于遵照发包人提供的设计或技术标准和要求引起的除外。</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1.11.2承包人在投标文件中采用专利技术的，专利技术的使用费包含在投标报价内。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1.11.3承包人的技术秘密和声明需要保密的资料和信息，发包人和监理人不得为合同以外的目的泄露给他人。</w:t>
      </w:r>
    </w:p>
    <w:p>
      <w:pPr>
        <w:pStyle w:val="74"/>
        <w:spacing w:line="360" w:lineRule="auto"/>
        <w:ind w:left="0" w:leftChars="0" w:right="249" w:firstLine="420" w:firstLineChars="200"/>
        <w:rPr>
          <w:rFonts w:ascii="宋体" w:hAnsi="宋体" w:cs="宋体"/>
          <w:kern w:val="2"/>
          <w:sz w:val="21"/>
          <w:szCs w:val="21"/>
        </w:rPr>
      </w:pPr>
      <w:r>
        <w:rPr>
          <w:rFonts w:hint="eastAsia" w:ascii="宋体" w:hAnsi="宋体" w:cs="宋体"/>
          <w:kern w:val="2"/>
          <w:sz w:val="21"/>
          <w:szCs w:val="21"/>
        </w:rPr>
        <w:t>1.11.4合同实施过程中，发包人要求承包人采用专利技术的，发包人应办理相应的使用手续，承包人应按发包人约定的条件使用，并承担使用专利技术的相关试验工作，所需费用由发包人承担。</w:t>
      </w:r>
      <w:bookmarkEnd w:id="171"/>
    </w:p>
    <w:p>
      <w:pPr>
        <w:pStyle w:val="72"/>
        <w:spacing w:line="360" w:lineRule="auto"/>
        <w:rPr>
          <w:rFonts w:ascii="宋体" w:hAnsi="宋体" w:eastAsia="宋体" w:cs="宋体"/>
          <w:kern w:val="2"/>
        </w:rPr>
      </w:pPr>
      <w:bookmarkStart w:id="172" w:name="_Toc222032672"/>
      <w:bookmarkStart w:id="173" w:name="_Toc222031005"/>
      <w:bookmarkStart w:id="174" w:name="_Toc221950713"/>
      <w:bookmarkStart w:id="175" w:name="_Toc222033854"/>
      <w:bookmarkStart w:id="176" w:name="_Toc229305363"/>
      <w:bookmarkStart w:id="177" w:name="_Toc222029503"/>
      <w:r>
        <w:rPr>
          <w:rFonts w:hint="eastAsia" w:ascii="宋体" w:hAnsi="宋体" w:eastAsia="宋体" w:cs="宋体"/>
          <w:kern w:val="2"/>
        </w:rPr>
        <w:t>2.发包人义务</w:t>
      </w:r>
      <w:bookmarkEnd w:id="172"/>
      <w:bookmarkEnd w:id="173"/>
      <w:bookmarkEnd w:id="174"/>
      <w:bookmarkEnd w:id="175"/>
      <w:bookmarkEnd w:id="176"/>
      <w:bookmarkEnd w:id="177"/>
    </w:p>
    <w:p>
      <w:pPr>
        <w:pStyle w:val="72"/>
        <w:spacing w:line="360" w:lineRule="auto"/>
        <w:rPr>
          <w:rFonts w:ascii="宋体" w:hAnsi="宋体" w:eastAsia="宋体" w:cs="宋体"/>
          <w:kern w:val="2"/>
          <w:sz w:val="24"/>
          <w:szCs w:val="24"/>
        </w:rPr>
      </w:pPr>
      <w:bookmarkStart w:id="178" w:name="_Toc221950720"/>
      <w:r>
        <w:rPr>
          <w:rFonts w:hint="eastAsia" w:ascii="宋体" w:hAnsi="宋体" w:eastAsia="宋体" w:cs="宋体"/>
          <w:kern w:val="2"/>
          <w:sz w:val="24"/>
          <w:szCs w:val="24"/>
        </w:rPr>
        <w:t>2.1遵守法律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发包人在履行合同过程中应遵守法律，并保证承包人免于承担因发包人违反法律而引起的任何责任。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2.2发出开工通知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发包人应委托监理人按第11.1款的约定向承包人发出开工通知。</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2.3提供施工场地</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2.3.1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bookmarkEnd w:id="178"/>
      <w:r>
        <w:rPr>
          <w:rFonts w:hint="eastAsia" w:ascii="宋体" w:hAnsi="宋体" w:eastAsia="宋体" w:cs="宋体"/>
          <w:kern w:val="2"/>
          <w:sz w:val="21"/>
          <w:szCs w:val="21"/>
        </w:rPr>
        <w:t>。</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2.3.2发包人提供的施工用地范围在专用合同条款中约定</w:t>
      </w:r>
      <w:r>
        <w:rPr>
          <w:rFonts w:hint="eastAsia" w:ascii="宋体" w:hAnsi="宋体" w:eastAsia="宋体" w:cs="宋体"/>
          <w:kern w:val="2"/>
          <w:sz w:val="24"/>
        </w:rPr>
        <w:t>。</w:t>
      </w:r>
    </w:p>
    <w:p>
      <w:pPr>
        <w:pStyle w:val="67"/>
        <w:spacing w:line="360" w:lineRule="auto"/>
        <w:ind w:right="248" w:firstLine="420" w:firstLineChars="200"/>
        <w:rPr>
          <w:rFonts w:ascii="宋体" w:hAnsi="宋体" w:eastAsia="宋体" w:cs="宋体"/>
          <w:kern w:val="2"/>
          <w:sz w:val="21"/>
          <w:szCs w:val="21"/>
        </w:rPr>
      </w:pPr>
      <w:bookmarkStart w:id="179" w:name="_Toc221950721"/>
      <w:r>
        <w:rPr>
          <w:rFonts w:hint="eastAsia" w:ascii="宋体" w:hAnsi="宋体" w:eastAsia="宋体" w:cs="宋体"/>
          <w:kern w:val="2"/>
          <w:sz w:val="21"/>
          <w:szCs w:val="21"/>
        </w:rPr>
        <w:t>2.3.3</w:t>
      </w:r>
      <w:bookmarkEnd w:id="179"/>
      <w:r>
        <w:rPr>
          <w:rFonts w:hint="eastAsia" w:ascii="宋体" w:hAnsi="宋体" w:eastAsia="宋体" w:cs="宋体"/>
          <w:kern w:val="2"/>
          <w:sz w:val="21"/>
          <w:szCs w:val="21"/>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2.4协助承包人办理证件和批件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发包人应协助承包人办理法律规定的有关施工证件和批件。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2.5组织设计交底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发包人应根据合同进度计划，组织设计单位向承包人进行设计交底。</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2.6支付合同价款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发包人应按合同约定向承包人及时支付合同价款。</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2.7组织竣工验收（组织法人验收）</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发包人应按合同约定及时组织法人验收。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2.8其它义务</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其它义务在专用合同条款中补充约定。</w:t>
      </w:r>
    </w:p>
    <w:p>
      <w:pPr>
        <w:pStyle w:val="72"/>
        <w:spacing w:line="360" w:lineRule="auto"/>
        <w:rPr>
          <w:rFonts w:ascii="宋体" w:hAnsi="宋体" w:eastAsia="宋体" w:cs="宋体"/>
          <w:kern w:val="2"/>
        </w:rPr>
      </w:pPr>
      <w:bookmarkStart w:id="180" w:name="_Toc222031006"/>
      <w:bookmarkStart w:id="181" w:name="_Toc222032673"/>
      <w:bookmarkStart w:id="182" w:name="_Toc229305364"/>
      <w:bookmarkStart w:id="183" w:name="_Toc221950732"/>
      <w:bookmarkStart w:id="184" w:name="_Toc222029504"/>
      <w:bookmarkStart w:id="185" w:name="_Toc222033855"/>
      <w:r>
        <w:rPr>
          <w:rFonts w:hint="eastAsia" w:ascii="宋体" w:hAnsi="宋体" w:eastAsia="宋体" w:cs="宋体"/>
          <w:kern w:val="2"/>
        </w:rPr>
        <w:t>3.监理人</w:t>
      </w:r>
      <w:bookmarkEnd w:id="180"/>
      <w:bookmarkEnd w:id="181"/>
      <w:bookmarkEnd w:id="182"/>
      <w:bookmarkEnd w:id="183"/>
      <w:bookmarkEnd w:id="184"/>
      <w:bookmarkEnd w:id="185"/>
    </w:p>
    <w:p>
      <w:pPr>
        <w:pStyle w:val="72"/>
        <w:spacing w:line="360" w:lineRule="auto"/>
        <w:rPr>
          <w:rFonts w:ascii="宋体" w:hAnsi="宋体" w:eastAsia="宋体" w:cs="宋体"/>
          <w:kern w:val="2"/>
          <w:sz w:val="24"/>
          <w:szCs w:val="24"/>
        </w:rPr>
      </w:pPr>
      <w:bookmarkStart w:id="186" w:name="_Toc221950735"/>
      <w:r>
        <w:rPr>
          <w:rFonts w:hint="eastAsia" w:ascii="宋体" w:hAnsi="宋体" w:eastAsia="宋体" w:cs="宋体"/>
          <w:kern w:val="2"/>
          <w:sz w:val="24"/>
          <w:szCs w:val="24"/>
        </w:rPr>
        <w:t>3.1监理人的职责和权利</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3.1.1</w:t>
      </w:r>
      <w:bookmarkEnd w:id="186"/>
      <w:r>
        <w:rPr>
          <w:rFonts w:hint="eastAsia" w:ascii="宋体" w:hAnsi="宋体" w:eastAsia="宋体" w:cs="宋体"/>
          <w:kern w:val="2"/>
          <w:sz w:val="21"/>
          <w:szCs w:val="21"/>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3.1.2监理人发出的任何指示应视为已得到发包人的批准，但监理人无权免除或变更合同约定的发包人和承包人的权利、义务和责任。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3.1.3合同约定应由承包人承担的义务和责任，不因监理人对承包人提交文件的审查或批准，对工程、材料和设备的检查和检验，以及为实施监理作出的指示等职务行为而减轻或解除。</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3.2总监理工程师</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发包人应在发出开工通知前将总监理工程师的任命通知承包人。总监理工程师更换时，应在调离14天前通知承包人。总监理工程师短期离开施工场地的，应委派代表代行其职责，并通知承包人。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3.3监理人员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3.3.1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3.3.2监理人员对承包人的任何工作、工程或其采用的材料和工程设备未在约定的或合理的期限内提出否定意见的，视为已获批准，但不影响监理人在以后拒绝该项工作、工程、材料或工程设备的权利。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3.3.3承包人对总监理工程师授权的监理人员发出的指示有疑问的，可向总监理工程师提出书面异议，总监理工程师应在48小时内对该指示予以确认、更改或撤销。</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3.3.4除专用合同条款另有约定外，总监理工程师不应将第3.5款约定应由总监理工程师作出确定的权力授权或委托给其他监理人员。</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3.4监理人的指示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3.4.1监理人应按第3.1款的约定向承包人发出指示，监理人的指示应盖有监理人授权的施工场地机构章，并由总监理工程师或总监理工程师按第3.3.1项约定授权的监理人员签字。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3.4.2承包人收到监理人按第3.4.1项作出的指示后应遵照执行。指示构成变更的，应按第15条处理。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3.4.3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3.4.4除合同另有约定外，承包人只从总监理工程师或按第3.3.1项被授权的监理人员处取得指示。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3.4.5由于监理人未能按合同约定发出指示、指示延误或指示错误而导致承包人费用增加和（或）工期延误的，由发包人承担赔偿责任。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3.5商定或确定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3.5.1合同约定总监理工程师应按照本款对任何事项进行商定或确定时，总监理工程师应与合同当事人协商，尽量达成一致。不能达成一致的，总监理工程师应认真研究后审慎确定。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67"/>
        <w:spacing w:line="360" w:lineRule="auto"/>
        <w:ind w:right="248" w:firstLine="420" w:firstLineChars="200"/>
        <w:rPr>
          <w:rFonts w:ascii="宋体" w:hAnsi="宋体" w:eastAsia="宋体" w:cs="宋体"/>
          <w:kern w:val="2"/>
          <w:sz w:val="21"/>
          <w:szCs w:val="21"/>
        </w:rPr>
      </w:pPr>
    </w:p>
    <w:p>
      <w:pPr>
        <w:pStyle w:val="72"/>
        <w:spacing w:line="360" w:lineRule="auto"/>
        <w:rPr>
          <w:rFonts w:ascii="宋体" w:hAnsi="宋体" w:eastAsia="宋体" w:cs="宋体"/>
          <w:kern w:val="2"/>
        </w:rPr>
      </w:pPr>
      <w:bookmarkStart w:id="187" w:name="_Toc222029505"/>
      <w:bookmarkStart w:id="188" w:name="_Toc222033856"/>
      <w:bookmarkStart w:id="189" w:name="_Toc222031007"/>
      <w:bookmarkStart w:id="190" w:name="_Toc222032674"/>
      <w:bookmarkStart w:id="191" w:name="_Toc229305365"/>
      <w:bookmarkStart w:id="192" w:name="_Toc221950744"/>
      <w:r>
        <w:rPr>
          <w:rFonts w:hint="eastAsia" w:ascii="宋体" w:hAnsi="宋体" w:eastAsia="宋体" w:cs="宋体"/>
          <w:kern w:val="2"/>
        </w:rPr>
        <w:t>4.承包人</w:t>
      </w:r>
      <w:bookmarkEnd w:id="187"/>
      <w:bookmarkEnd w:id="188"/>
      <w:bookmarkEnd w:id="189"/>
      <w:bookmarkEnd w:id="190"/>
      <w:bookmarkEnd w:id="191"/>
      <w:bookmarkEnd w:id="192"/>
    </w:p>
    <w:p>
      <w:pPr>
        <w:pStyle w:val="72"/>
        <w:spacing w:line="360" w:lineRule="auto"/>
        <w:rPr>
          <w:rFonts w:ascii="宋体" w:hAnsi="宋体" w:eastAsia="宋体" w:cs="宋体"/>
          <w:kern w:val="2"/>
          <w:sz w:val="24"/>
          <w:szCs w:val="24"/>
        </w:rPr>
      </w:pPr>
      <w:bookmarkStart w:id="193" w:name="_Toc221950747"/>
      <w:r>
        <w:rPr>
          <w:rFonts w:hint="eastAsia" w:ascii="宋体" w:hAnsi="宋体" w:eastAsia="宋体" w:cs="宋体"/>
          <w:kern w:val="2"/>
          <w:sz w:val="24"/>
          <w:szCs w:val="24"/>
        </w:rPr>
        <w:t>4.1承包人的一般义务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4.1.1遵守法律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承包人在履行合同过程中应遵守法律，并保证发包人免于承担因承包人违反法律而引起的任何责任。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4.1.2依法纳税</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承包人应按有关法律规定纳税，应缴纳的税金包括在合同价格内。</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4.1.3</w:t>
      </w:r>
      <w:bookmarkEnd w:id="193"/>
      <w:r>
        <w:rPr>
          <w:rFonts w:hint="eastAsia" w:ascii="宋体" w:hAnsi="宋体" w:eastAsia="宋体" w:cs="宋体"/>
          <w:kern w:val="2"/>
          <w:sz w:val="21"/>
          <w:szCs w:val="21"/>
        </w:rPr>
        <w:t>完成各项承包工作</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4.1.4对施工作业和施工方法的完备性负责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承包人应按合同约定的工作内容和施工进度要求，编制施工组织设计和施工措施计划，并对所有施工作业和施工方法的完备性和安全可靠性负责。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4.1.5保证工程施工和人员的安全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承包人应按第9.2款约定采取施工安全措施，确保工程及其人员、材料、设备和设施的安全，防止因工程施工造成的人身伤害和财产损失。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4.1.6负责施工场地及其周边环境与生态的保护工作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承包人应按照第9.4款约定负责施工场地及其周边环境与生态的保护工作。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4.1.7避免施工对公众与他人的利益造成损害</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4.1.8为他人提供方便</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承包人应按监理人的指示为他人在施工场地或附近实施与工程有关的其他各项工作提供可能的条件。除合同另有约定外，提供有关条件的内容和可能发生的费用，由监理人按第3.5款商定或确定。</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4.1.9工程的维护和照管</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4.1.10其它义务</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其他义务在专用合同条款中补充约定。</w:t>
      </w:r>
    </w:p>
    <w:p>
      <w:pPr>
        <w:pStyle w:val="72"/>
        <w:spacing w:line="360" w:lineRule="auto"/>
        <w:rPr>
          <w:rFonts w:ascii="宋体" w:hAnsi="宋体" w:eastAsia="宋体" w:cs="宋体"/>
          <w:kern w:val="2"/>
          <w:sz w:val="24"/>
          <w:szCs w:val="24"/>
        </w:rPr>
      </w:pPr>
      <w:bookmarkStart w:id="194" w:name="_Toc221950749"/>
      <w:r>
        <w:rPr>
          <w:rFonts w:hint="eastAsia" w:ascii="宋体" w:hAnsi="宋体" w:eastAsia="宋体" w:cs="宋体"/>
          <w:kern w:val="2"/>
          <w:sz w:val="24"/>
          <w:szCs w:val="24"/>
        </w:rPr>
        <w:t>4.2</w:t>
      </w:r>
      <w:bookmarkEnd w:id="194"/>
      <w:bookmarkStart w:id="195" w:name="_Toc221950751"/>
      <w:r>
        <w:rPr>
          <w:rFonts w:hint="eastAsia" w:ascii="宋体" w:hAnsi="宋体" w:eastAsia="宋体" w:cs="宋体"/>
          <w:kern w:val="2"/>
          <w:sz w:val="24"/>
          <w:szCs w:val="24"/>
        </w:rPr>
        <w:t>履约担保</w:t>
      </w:r>
    </w:p>
    <w:bookmarkEnd w:id="195"/>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承包人应保证其履约担保在发包人颁发合同工程完工证书前一直有效。发包人应在合同工程完工证书颁发后28天内将履约担保退还给承包人。</w:t>
      </w:r>
    </w:p>
    <w:p>
      <w:pPr>
        <w:pStyle w:val="72"/>
        <w:spacing w:line="360" w:lineRule="auto"/>
        <w:rPr>
          <w:rFonts w:ascii="宋体" w:hAnsi="宋体" w:eastAsia="宋体" w:cs="宋体"/>
          <w:kern w:val="2"/>
          <w:sz w:val="24"/>
          <w:szCs w:val="24"/>
        </w:rPr>
      </w:pPr>
      <w:bookmarkStart w:id="196" w:name="_Toc221950754"/>
      <w:r>
        <w:rPr>
          <w:rFonts w:hint="eastAsia" w:ascii="宋体" w:hAnsi="宋体" w:eastAsia="宋体" w:cs="宋体"/>
          <w:kern w:val="2"/>
          <w:sz w:val="24"/>
          <w:szCs w:val="24"/>
        </w:rPr>
        <w:t>4.3分包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4.3.1承包人不得将其承包的全部工程转包给第三人，或将其承包的全部工程肢解后以分包的名义转包给第三人。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4.3.2承包人不得将工程主体、关键性工作分包给第三人。除专用合同条款另有约定外，未经发包人同意，承包人不得将工程的其他部分或工作分包给第三人。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4.3.3分包人的资格能力应与其分包工程的标准和规模相适应。</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4.3.4按投标函附录约定分包工程的，承包人应向发包人和监理人提交分包合同副本。</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4.3.5承包人应与分包人就分包工程向发包人承担连带责任。</w:t>
      </w:r>
    </w:p>
    <w:p>
      <w:pPr>
        <w:pStyle w:val="67"/>
        <w:spacing w:line="360" w:lineRule="auto"/>
        <w:ind w:right="248" w:firstLine="420" w:firstLineChars="200"/>
        <w:rPr>
          <w:rFonts w:ascii="宋体" w:hAnsi="宋体" w:eastAsia="宋体" w:cs="宋体"/>
          <w:kern w:val="2"/>
          <w:sz w:val="21"/>
          <w:szCs w:val="21"/>
        </w:rPr>
      </w:pPr>
      <w:r>
        <w:rPr>
          <w:rFonts w:hint="eastAsia" w:ascii="宋体" w:hAnsi="宋体" w:eastAsia="宋体" w:cs="宋体"/>
          <w:kern w:val="2"/>
          <w:sz w:val="21"/>
          <w:szCs w:val="21"/>
        </w:rP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由指定分包人造成的与其分包工作有关的一切索赔、诉讼和损失赔偿由指定分包人直接对发包人负责，承包人不对此承担责任。</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4.3.8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bookmarkEnd w:id="196"/>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4.3.9除第4.3.7项规定的指定分包外，承包人对其分包项目的实施以及分包人的行为向发包人负全部责任。承包人应对分包项目的工程进度、质量、安全、计量和验收等实施监督和管理。</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4.3.10分包人应按专用合同条款的约定设立项目管理机构组织管理分包工程的施工活动。</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4.4联合体</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4.4.1联合体各方应共同与发包人签订合同协议书。联合体各方应为履行合同承担连带责任。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4.4.2联合体协议经发包人确认后作为合同附件。在履行合同过程中，未经发包人同意，不得修改联合体协议。</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4.4.3联合体牵头人负责与发包人和监理人联系，并接受指示，负责组织联合体各成员全面履行合同。</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4.5承包人项目经理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4.5.2承包人项目经理应按合同约定以及监理人按第3.4款作出的指示，负责组织合同工程的实施。在情况紧急且无法与监理人取得联系时，可采取保证工程和人员生命财产安令的紧急措施，并在采取措施后24小时内向监理人提交书面报告。</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4.5.3承包人为履行合同发出的一切函件均应盖有承包人授权的施工场地管理机构章，并由承包人项目经理或其授权代表签字。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4.5.4承包人项目经理可以授权其下属人员履行其某项职责，但事先应将这些人员的姓名和授权范围通知监理人。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4.6承包人人员的管理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4.6.2为完成合同约定的各项工作，承包人应向施工场地派遣或雇佣足够数量的下列人员：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(1）具有相应资格的专业技工和合格的普工；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(2）具有相应施工经验的技术人员；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(3）具有相应岗位资格的各级管理人员。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4.6.3承包人安排在施工场地的主要管理人员和技术骨干应相对稳定。承包人更换主要管理人员和技术骨干时，应取得监理人的同意。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4.6.4特殊岗位的工作人员均应持有相应的资格证明，监理人有权随时检查。监理人认为有必要时，可进行现场考核。</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4.7撤换承包人项目经理和其他人员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承包人应对其项目经理和其他人员进行有效管理。监理人要求撤换不能胜任本职工作、行为不端或玩忽职守的承包人项目经理和其他人员的，承包人应予以撤换。</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4.8保障承包人人员的合法权益</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4.8.1承包人应与其雇佣的人员签订劳动合同，并按时发放工资。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4.8.2承包人应按劳动法的规定安排工作时间，保证其雇佣人员享有休息和休假的权利。因工程施工的特殊需要占用休假日或延长工作时间的，应不超过法律规定的限度，并按法律规定给予补休或付酬。</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4.8.3承包人应为其雇佣人员提供必要的食宿条件，以及符合环境保护和卫生要求的生活环境，在远离城镇的施工场地，还应配备必要的伤病防治和急救的医务人员与医疗设施。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4.8.4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4.8.5承包人应按有关法律规定和合同约定，为其雇佣人员办理保险。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4.8.6承包人应负责处理其雇佣人员因工伤亡事故的善后事宜。</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4.9工程价款应专款专用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发包人按合同约定支付给承包人的各项价款应专用于合同工程。</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4.10承包人现场查勘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4.10.1发包人应将其持有的现场地质勘探资料、水文气象资料提供给承包人，并对其准确胜负责。但承包人应对其阅读上述有关资料后所作出的解释和推断负责。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4.10.2承包人应对施工场地和周围环境进行查勘，并收集有关地质、水文、气象条件、交通条件、风俗习惯以及其他为完成合同工作有关的当地资料。在全部合同工作中，应视为承包人己充分估计了应承担的责任和风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4.11不利物质条件</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4.11.1除专用合同条款另有约定外，不利物质条件是指在施工中遭遇不可预见的外界障碍或自然条件造成施工受阻。</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4.11.2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pStyle w:val="72"/>
        <w:spacing w:line="360" w:lineRule="auto"/>
        <w:rPr>
          <w:rFonts w:ascii="宋体" w:hAnsi="宋体" w:eastAsia="宋体" w:cs="宋体"/>
          <w:kern w:val="2"/>
        </w:rPr>
      </w:pPr>
      <w:bookmarkStart w:id="197" w:name="_Toc222032675"/>
      <w:bookmarkStart w:id="198" w:name="_Toc229305366"/>
      <w:bookmarkStart w:id="199" w:name="_Toc222029506"/>
      <w:bookmarkStart w:id="200" w:name="_Toc222031008"/>
      <w:bookmarkStart w:id="201" w:name="_Toc222033857"/>
      <w:bookmarkStart w:id="202" w:name="_Toc221950770"/>
      <w:r>
        <w:rPr>
          <w:rFonts w:hint="eastAsia" w:ascii="宋体" w:hAnsi="宋体" w:eastAsia="宋体" w:cs="宋体"/>
          <w:kern w:val="2"/>
        </w:rPr>
        <w:t>5.材料和工程设备</w:t>
      </w:r>
      <w:bookmarkEnd w:id="197"/>
      <w:bookmarkEnd w:id="198"/>
      <w:bookmarkEnd w:id="199"/>
      <w:bookmarkEnd w:id="200"/>
      <w:bookmarkEnd w:id="201"/>
      <w:bookmarkEnd w:id="202"/>
    </w:p>
    <w:p>
      <w:pPr>
        <w:pStyle w:val="72"/>
        <w:spacing w:line="360" w:lineRule="auto"/>
        <w:rPr>
          <w:rFonts w:ascii="宋体" w:hAnsi="宋体" w:eastAsia="宋体" w:cs="宋体"/>
          <w:kern w:val="2"/>
          <w:sz w:val="24"/>
          <w:szCs w:val="24"/>
        </w:rPr>
      </w:pPr>
      <w:bookmarkStart w:id="203" w:name="_Toc221950773"/>
      <w:r>
        <w:rPr>
          <w:rFonts w:hint="eastAsia" w:ascii="宋体" w:hAnsi="宋体" w:eastAsia="宋体" w:cs="宋体"/>
          <w:kern w:val="2"/>
          <w:sz w:val="24"/>
          <w:szCs w:val="24"/>
        </w:rPr>
        <w:t>5.1承包人提供的材料和工程设备</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5.1.1</w:t>
      </w:r>
      <w:bookmarkEnd w:id="203"/>
      <w:r>
        <w:rPr>
          <w:rFonts w:hint="eastAsia" w:ascii="宋体" w:hAnsi="宋体" w:eastAsia="宋体" w:cs="宋体"/>
          <w:kern w:val="2"/>
          <w:sz w:val="21"/>
          <w:szCs w:val="21"/>
        </w:rPr>
        <w:t>除第5.2款约定由发包人提供的材料和工程设备外，承包人负责采购、运输和保管完成本合同工作所需的材料和工程设备。承包人应对其采购的材料和工程设备负责。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72"/>
        <w:spacing w:line="360" w:lineRule="auto"/>
        <w:rPr>
          <w:rFonts w:ascii="宋体" w:hAnsi="宋体" w:eastAsia="宋体" w:cs="宋体"/>
          <w:kern w:val="2"/>
          <w:sz w:val="24"/>
          <w:szCs w:val="24"/>
        </w:rPr>
      </w:pPr>
      <w:bookmarkStart w:id="204" w:name="_Toc221950779"/>
      <w:r>
        <w:rPr>
          <w:rFonts w:hint="eastAsia" w:ascii="宋体" w:hAnsi="宋体" w:eastAsia="宋体" w:cs="宋体"/>
          <w:kern w:val="2"/>
          <w:sz w:val="24"/>
          <w:szCs w:val="24"/>
        </w:rPr>
        <w:t>5.2发包人提供的材料和工程设备</w:t>
      </w:r>
    </w:p>
    <w:bookmarkEnd w:id="204"/>
    <w:p>
      <w:pPr>
        <w:pStyle w:val="67"/>
        <w:spacing w:line="360" w:lineRule="auto"/>
        <w:ind w:firstLine="420" w:firstLineChars="200"/>
        <w:rPr>
          <w:rFonts w:ascii="宋体" w:hAnsi="宋体" w:eastAsia="宋体" w:cs="宋体"/>
          <w:kern w:val="2"/>
          <w:sz w:val="21"/>
          <w:szCs w:val="21"/>
        </w:rPr>
      </w:pPr>
      <w:bookmarkStart w:id="205" w:name="_Toc221950780"/>
      <w:r>
        <w:rPr>
          <w:rFonts w:hint="eastAsia" w:ascii="宋体" w:hAnsi="宋体" w:eastAsia="宋体" w:cs="宋体"/>
          <w:kern w:val="2"/>
          <w:sz w:val="21"/>
          <w:szCs w:val="21"/>
        </w:rPr>
        <w:t>5.2.1发包人提供的材料和工程设备，应在专用合同条款中写明材料和工程设备的名称、规格、数量、价格、交货方式、交货地点和计划交货日期等。</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5.2.2承包人应根据合同进度计划的安排，向监理人报送要求发包人交货的日期计划。发包人应按照监理人与合同双方当事人商定的交货日期，向承包人提交材料和工程设备。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5.2.3</w:t>
      </w:r>
      <w:bookmarkEnd w:id="205"/>
      <w:r>
        <w:rPr>
          <w:rFonts w:hint="eastAsia" w:ascii="宋体" w:hAnsi="宋体" w:eastAsia="宋体" w:cs="宋体"/>
          <w:kern w:val="2"/>
          <w:sz w:val="21"/>
          <w:szCs w:val="21"/>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5.2.4发包人要求向承包人提前交货的，承包人不得拒绝，但发包人应承担承包人由此增加的费用。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5.2.5承包人要求更改交货日期或地点的，应事先报请监理人批准。由于承包人要求更改交货时间或地点所增加的费用和（或）工期延误由承包人承担。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5.2.6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5.3材料和工程设备专用于合同工程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5.3.1运入施工场地的材料、工程设备，包括备品备件、安装专用工器具与随机资料，必须专用于合同工程，未经监理人同意，承包人不得运出施工场地或挪作他用。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5.4禁止使用不合格的材料和工程设备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5.4.1监理人有权拒绝承包人提供的不合格材料或工程设备，并要求承包人立即进行更换。监理人应在更换后再次进行检查和检验，由此增加的费用和（或）工期延误由承包人承担。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5.4.2监理人发现承包人使用了不合格的材料和工程设备，应即时发出指示要求承包人立即改正，并禁止在工程中继续使用不合格的材料和工程设备。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5.4.3发包人提供的材料或工程设备不符合合同要求的，承包人有权拒绝，并可要求发包人更换，由此增加的费用和（或）工期延误由发包人承担。</w:t>
      </w:r>
    </w:p>
    <w:p>
      <w:pPr>
        <w:pStyle w:val="72"/>
        <w:spacing w:line="360" w:lineRule="auto"/>
        <w:rPr>
          <w:rFonts w:ascii="宋体" w:hAnsi="宋体" w:eastAsia="宋体" w:cs="宋体"/>
          <w:kern w:val="2"/>
        </w:rPr>
      </w:pPr>
      <w:bookmarkStart w:id="206" w:name="_Toc222033858"/>
      <w:bookmarkStart w:id="207" w:name="_Toc229305367"/>
      <w:bookmarkStart w:id="208" w:name="_Toc222031009"/>
      <w:bookmarkStart w:id="209" w:name="_Toc222032676"/>
      <w:bookmarkStart w:id="210" w:name="_Toc222029507"/>
      <w:bookmarkStart w:id="211" w:name="_Toc221950785"/>
      <w:r>
        <w:rPr>
          <w:rFonts w:hint="eastAsia" w:ascii="宋体" w:hAnsi="宋体" w:eastAsia="宋体" w:cs="宋体"/>
          <w:kern w:val="2"/>
        </w:rPr>
        <w:t>6.施工设备和临时设施</w:t>
      </w:r>
      <w:bookmarkEnd w:id="206"/>
      <w:bookmarkEnd w:id="207"/>
      <w:bookmarkEnd w:id="208"/>
      <w:bookmarkEnd w:id="209"/>
      <w:bookmarkEnd w:id="210"/>
      <w:bookmarkEnd w:id="211"/>
    </w:p>
    <w:p>
      <w:pPr>
        <w:pStyle w:val="72"/>
        <w:spacing w:line="360" w:lineRule="auto"/>
        <w:rPr>
          <w:rFonts w:ascii="宋体" w:hAnsi="宋体" w:eastAsia="宋体" w:cs="宋体"/>
          <w:kern w:val="2"/>
          <w:sz w:val="24"/>
          <w:szCs w:val="24"/>
        </w:rPr>
      </w:pPr>
      <w:bookmarkStart w:id="212" w:name="_Toc221950788"/>
      <w:r>
        <w:rPr>
          <w:rFonts w:hint="eastAsia" w:ascii="宋体" w:hAnsi="宋体" w:eastAsia="宋体" w:cs="宋体"/>
          <w:kern w:val="2"/>
          <w:sz w:val="24"/>
          <w:szCs w:val="24"/>
        </w:rPr>
        <w:t>6.1承包人提供的施工设备和临时设施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6.1.1承包人应按合同进度计划的要求，及时配置施工设备和修建临时设施。进入施工场地的承包人设备需经监理人核查后才能投入使用。承包人更换合同约定的承包人设备的，应报监理人批准。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6.1.2除专用合同条款另有约定外，承包人应自行承担修建临时设施的费用，需要临时占地的，应由发包人办理申请手续并承担相应费用。</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6.2发包人提供的施工设备和临时设施</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发包人提供的施工设备或临时设施在专用合同条款中约定。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6.3要求承包人增加或更换施工设备</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承包人使用的施工设备不能满足合同进度计划和（或）质量要求时，监理人有权要求承包人增加或更换施工设备，承包人应及时增加或更换，由此增加的费用和（或）工期延误由承包人承担。</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6.4施工设备和临时设施专用于合同工程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6.4.1除合同另有约定外，运入施工场地的所有施工设备以及在施工场地建设的临时设施应专用于合同工程。未经监理人同意，不得将上述施工设备和临时设施中的任何部分运出施工场地或挪作他用。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6.4.2经监理人同意，承包人可根据合同进度计划撤走闲置的施工设备。</w:t>
      </w:r>
    </w:p>
    <w:bookmarkEnd w:id="212"/>
    <w:p>
      <w:pPr>
        <w:pStyle w:val="72"/>
        <w:spacing w:line="360" w:lineRule="auto"/>
        <w:rPr>
          <w:rFonts w:ascii="宋体" w:hAnsi="宋体" w:eastAsia="宋体" w:cs="宋体"/>
          <w:kern w:val="2"/>
        </w:rPr>
      </w:pPr>
      <w:bookmarkStart w:id="213" w:name="_Toc222032677"/>
      <w:bookmarkStart w:id="214" w:name="_Toc222033859"/>
      <w:bookmarkStart w:id="215" w:name="_Toc229305368"/>
      <w:bookmarkStart w:id="216" w:name="_Toc222031010"/>
      <w:bookmarkStart w:id="217" w:name="_Toc222029508"/>
      <w:bookmarkStart w:id="218" w:name="_Toc221950795"/>
      <w:r>
        <w:rPr>
          <w:rFonts w:hint="eastAsia" w:ascii="宋体" w:hAnsi="宋体" w:eastAsia="宋体" w:cs="宋体"/>
          <w:kern w:val="2"/>
        </w:rPr>
        <w:t>7.交通运输</w:t>
      </w:r>
      <w:bookmarkEnd w:id="213"/>
      <w:bookmarkEnd w:id="214"/>
      <w:bookmarkEnd w:id="215"/>
      <w:bookmarkEnd w:id="216"/>
      <w:bookmarkEnd w:id="217"/>
      <w:bookmarkEnd w:id="218"/>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7.1道路通行权和场外设施</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72"/>
        <w:spacing w:line="360" w:lineRule="auto"/>
        <w:rPr>
          <w:rFonts w:ascii="宋体" w:hAnsi="宋体" w:eastAsia="宋体" w:cs="宋体"/>
          <w:kern w:val="2"/>
          <w:sz w:val="24"/>
          <w:szCs w:val="24"/>
        </w:rPr>
      </w:pPr>
      <w:bookmarkStart w:id="219" w:name="_Toc221950800"/>
      <w:r>
        <w:rPr>
          <w:rFonts w:hint="eastAsia" w:ascii="宋体" w:hAnsi="宋体" w:eastAsia="宋体" w:cs="宋体"/>
          <w:kern w:val="2"/>
          <w:sz w:val="24"/>
          <w:szCs w:val="24"/>
        </w:rPr>
        <w:t>7.2场内施工道路</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7.2.1</w:t>
      </w:r>
      <w:bookmarkEnd w:id="219"/>
      <w:r>
        <w:rPr>
          <w:rFonts w:hint="eastAsia" w:ascii="宋体" w:hAnsi="宋体" w:eastAsia="宋体" w:cs="宋体"/>
          <w:kern w:val="2"/>
          <w:sz w:val="21"/>
          <w:szCs w:val="21"/>
        </w:rPr>
        <w:t>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pStyle w:val="67"/>
        <w:spacing w:line="360" w:lineRule="auto"/>
        <w:ind w:right="248" w:firstLine="447" w:firstLineChars="213"/>
        <w:rPr>
          <w:rFonts w:ascii="宋体" w:hAnsi="宋体" w:eastAsia="宋体" w:cs="宋体"/>
          <w:kern w:val="2"/>
          <w:sz w:val="21"/>
          <w:szCs w:val="21"/>
        </w:rPr>
      </w:pPr>
      <w:bookmarkStart w:id="220" w:name="_Toc221950801"/>
      <w:r>
        <w:rPr>
          <w:rFonts w:hint="eastAsia" w:ascii="宋体" w:hAnsi="宋体" w:eastAsia="宋体" w:cs="宋体"/>
          <w:kern w:val="2"/>
          <w:sz w:val="21"/>
          <w:szCs w:val="21"/>
        </w:rPr>
        <w:t>7.2.2</w:t>
      </w:r>
      <w:bookmarkEnd w:id="220"/>
      <w:r>
        <w:rPr>
          <w:rFonts w:hint="eastAsia" w:ascii="宋体" w:hAnsi="宋体" w:eastAsia="宋体" w:cs="宋体"/>
          <w:kern w:val="2"/>
          <w:sz w:val="21"/>
          <w:szCs w:val="21"/>
        </w:rPr>
        <w:t>承包人修建的临时道路和交通设施，应免费提供发包人、监理人以及与本合同有关的其他承包人使用。</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7.3场外交通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7.3.1承包人车辆外出行驶所需的场外公共道路的通行费、养路费和税款等由承包人承担。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7.3.2承包人应遵守有关交通法规，严格按照道路和桥梁的限制荷重安全行驶，并服从交通管理部门的检查和监督。</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7.4超大件和超重件的运输</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7.5道路和桥梁的损坏责任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因承包人运输造成施工场地内外公共道路和桥梁损坏的，由承包人承担修复损坏的全部费用和可能引起的赔偿。</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7.6水路和航空运输</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本条上述各款的内容适用于水路运输和航空运输，其中“道路”一词的涵义包括河道、航线、船闸、机场、码头、堤防以及水路或航空运输中其他相似结构物；“车辆”一词的涯义包括船舶和飞机等。</w:t>
      </w:r>
    </w:p>
    <w:p>
      <w:pPr>
        <w:pStyle w:val="72"/>
        <w:spacing w:line="360" w:lineRule="auto"/>
        <w:rPr>
          <w:rFonts w:ascii="宋体" w:hAnsi="宋体" w:eastAsia="宋体" w:cs="宋体"/>
          <w:kern w:val="2"/>
        </w:rPr>
      </w:pPr>
      <w:bookmarkStart w:id="221" w:name="_Toc221950810"/>
      <w:bookmarkStart w:id="222" w:name="_Toc222032678"/>
      <w:bookmarkStart w:id="223" w:name="_Toc222029509"/>
      <w:bookmarkStart w:id="224" w:name="_Toc222033860"/>
      <w:bookmarkStart w:id="225" w:name="_Toc222031011"/>
      <w:bookmarkStart w:id="226" w:name="_Toc229305369"/>
      <w:r>
        <w:rPr>
          <w:rFonts w:hint="eastAsia" w:ascii="宋体" w:hAnsi="宋体" w:eastAsia="宋体" w:cs="宋体"/>
          <w:kern w:val="2"/>
        </w:rPr>
        <w:t>8.测量放线</w:t>
      </w:r>
      <w:bookmarkEnd w:id="221"/>
      <w:bookmarkEnd w:id="222"/>
      <w:bookmarkEnd w:id="223"/>
      <w:bookmarkEnd w:id="224"/>
      <w:bookmarkEnd w:id="225"/>
      <w:bookmarkEnd w:id="226"/>
    </w:p>
    <w:p>
      <w:pPr>
        <w:pStyle w:val="72"/>
        <w:spacing w:line="360" w:lineRule="auto"/>
        <w:rPr>
          <w:rFonts w:ascii="宋体" w:hAnsi="宋体" w:eastAsia="宋体" w:cs="宋体"/>
          <w:kern w:val="2"/>
          <w:sz w:val="24"/>
          <w:szCs w:val="24"/>
        </w:rPr>
      </w:pPr>
      <w:bookmarkStart w:id="227" w:name="_Toc221950814"/>
      <w:r>
        <w:rPr>
          <w:rFonts w:hint="eastAsia" w:ascii="宋体" w:hAnsi="宋体" w:eastAsia="宋体" w:cs="宋体"/>
          <w:kern w:val="2"/>
          <w:sz w:val="24"/>
          <w:szCs w:val="24"/>
        </w:rPr>
        <w:t>8.1施工控制网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8.1.1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8.1.2承包人应负责管理施工控制网点。施工控制网点丢失或损坏的，承包人应及时修复。承包人应承担施工控制网点的管理与修复费用，并在工程竣工后将施工控制网点移交发包人。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8.2施工测量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8.2.1承包人应负责施工过程中的全部施工测量放线工作，并配置合格的人员、仪器、设备和其他物品。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8.2.2监理人可以指示承包人进行抽样复测，当复测中发现错误或出现超过合同约定的误差时，承包人应按监理人指示进行修正或补测，并承担相应的复测费用。</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8.3基准资料错误的责任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8.4监理人使用施工控制网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监理人需要使用施工控制网的，承包人应提供必要的协助，发包人不再为此支付费用。</w:t>
      </w:r>
    </w:p>
    <w:bookmarkEnd w:id="227"/>
    <w:p>
      <w:pPr>
        <w:pStyle w:val="72"/>
        <w:spacing w:line="360" w:lineRule="auto"/>
        <w:rPr>
          <w:rFonts w:ascii="宋体" w:hAnsi="宋体" w:eastAsia="宋体" w:cs="宋体"/>
          <w:kern w:val="2"/>
          <w:sz w:val="24"/>
          <w:szCs w:val="24"/>
        </w:rPr>
      </w:pPr>
      <w:bookmarkStart w:id="228" w:name="_Toc221950821"/>
      <w:r>
        <w:rPr>
          <w:rFonts w:hint="eastAsia" w:ascii="宋体" w:hAnsi="宋体" w:eastAsia="宋体" w:cs="宋体"/>
          <w:kern w:val="2"/>
          <w:sz w:val="24"/>
          <w:szCs w:val="24"/>
        </w:rPr>
        <w:t>8.5补充地质勘探</w:t>
      </w:r>
      <w:bookmarkEnd w:id="228"/>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pStyle w:val="72"/>
        <w:spacing w:line="360" w:lineRule="auto"/>
        <w:rPr>
          <w:rFonts w:ascii="宋体" w:hAnsi="宋体" w:eastAsia="宋体" w:cs="宋体"/>
          <w:kern w:val="2"/>
        </w:rPr>
      </w:pPr>
      <w:bookmarkStart w:id="229" w:name="_Toc222032679"/>
      <w:bookmarkStart w:id="230" w:name="_Toc222029510"/>
      <w:bookmarkStart w:id="231" w:name="_Toc222031012"/>
      <w:bookmarkStart w:id="232" w:name="_Toc229305370"/>
      <w:bookmarkStart w:id="233" w:name="_Toc222033861"/>
      <w:bookmarkStart w:id="234" w:name="_Toc221950823"/>
      <w:r>
        <w:rPr>
          <w:rFonts w:hint="eastAsia" w:ascii="宋体" w:hAnsi="宋体" w:eastAsia="宋体" w:cs="宋体"/>
          <w:kern w:val="2"/>
        </w:rPr>
        <w:t>9.施工安全、治安保卫和环境保护</w:t>
      </w:r>
      <w:bookmarkEnd w:id="229"/>
      <w:bookmarkEnd w:id="230"/>
      <w:bookmarkEnd w:id="231"/>
      <w:bookmarkEnd w:id="232"/>
      <w:bookmarkEnd w:id="233"/>
      <w:bookmarkEnd w:id="234"/>
    </w:p>
    <w:p>
      <w:pPr>
        <w:pStyle w:val="72"/>
        <w:spacing w:line="360" w:lineRule="auto"/>
        <w:rPr>
          <w:rFonts w:ascii="宋体" w:hAnsi="宋体" w:eastAsia="宋体" w:cs="宋体"/>
          <w:kern w:val="2"/>
          <w:sz w:val="24"/>
          <w:szCs w:val="24"/>
        </w:rPr>
      </w:pPr>
      <w:bookmarkStart w:id="235" w:name="_Toc221950826"/>
      <w:r>
        <w:rPr>
          <w:rFonts w:hint="eastAsia" w:ascii="宋体" w:hAnsi="宋体" w:eastAsia="宋体" w:cs="宋体"/>
          <w:kern w:val="2"/>
          <w:sz w:val="24"/>
          <w:szCs w:val="24"/>
        </w:rPr>
        <w:t>9.1发包人的施工安全责任</w:t>
      </w:r>
    </w:p>
    <w:bookmarkEnd w:id="235"/>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9.1.2发包人应对其现场机构雇佣的全部人员的工伤事故承担责任，但由于承包人原因造成发包人人员工伤的，应由承包人承担责任。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9.1.3发包人应负责赔偿以下各种情况造成的第三者人身伤亡和财产损失：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(l）工程或工程的任何部分对土地的占用所造成的第三者财产损失；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(2）由于发包人原因在施工场地及其毗邻地带造成的第三者人身伤亡和财产损失。</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9.1.5发包人按照已标价工程量清单所列金额和合同约定的计量支付规定，支付安全作业环境及安全施工措施所需费用。</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9.1.6发包人负责组织工程参建单位编制保证安全生产的措施方案。工程开工前，就落实保证安全生产的措施进行全面系统的布置，进一步明确承包人的安全生产责任。</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9.1.7发包人负责在拆除工程和爆破工程施工１４天前向有关部门或机构报送相关备案资料。</w:t>
      </w:r>
    </w:p>
    <w:p>
      <w:pPr>
        <w:pStyle w:val="72"/>
        <w:spacing w:line="360" w:lineRule="auto"/>
        <w:rPr>
          <w:rFonts w:ascii="宋体" w:hAnsi="宋体" w:eastAsia="宋体" w:cs="宋体"/>
          <w:kern w:val="2"/>
          <w:sz w:val="24"/>
          <w:szCs w:val="24"/>
        </w:rPr>
      </w:pPr>
      <w:bookmarkStart w:id="236" w:name="_Toc221950836"/>
      <w:r>
        <w:rPr>
          <w:rFonts w:hint="eastAsia" w:ascii="宋体" w:hAnsi="宋体" w:eastAsia="宋体" w:cs="宋体"/>
          <w:kern w:val="2"/>
          <w:sz w:val="24"/>
          <w:szCs w:val="24"/>
        </w:rPr>
        <w:t>9.2承包人的施工安全责任</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9.2.2承包人应加强施工作业安全管理，特别应加强易燃、易爆材料、火工器材、有毒与腐蚀性材料和其他危险品的管理，以及对爆破作业和地下工程施工等危险作业的管理。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9.2.3承包人应严格按照国家安全标准制定施工安全操作规程，配备必要的安全生产和劳动保护设施，加强对承包人人员的安全教育，并发放安全工作手册和劳动保护用具。</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9.2.4承包人应按监理人的指示制定应对灾害的紧急预案，报送监理人审批。承包人还应按预案做好安全检查，配置必要的救助物资和器材，切实保护好有关人员的人身和财产安全。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9.2.5合同约定的安全作业环境及安全施工措施所需费用应遵守有关规定，并包括在相关工作的合同价格中。因采取合同未约定的安全作业环境及安全施工措施增加的费用，由监理人按第3.5款商定或确定。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9.2.6承包人应对其履行合同所雇佣的全部人员，包括分包人人员的工伤事故承担责任，但由于发包人原因造成承包人人员工伤事故的，应由发包人承担责任。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9.2.7由于承包人原因在施工场地内及其毗邻地带造成的第三者人员伤亡和财产损失，由承包人负责赔偿。</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9.2.8承包人已标价工程量清单应包含工程安全作业环境及安全施工措施所需费用。</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9.2.10承包人应设立安全生产管理机构，施工现场应有专职安全生产管理人员。</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9.2.11承包人应负责对特种作业人员进行专门的安全作业培训，并保证特种作业人员持证上岗。</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9.2.13承包人在使用施工起重机械和整体提升脚手架、模板等自升式架设设施前，应组织有关单位进行验收。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9.3治安保卫</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9.3.1除合同另有约定外，发包人应与当地公安部门协商，在现场建立治安管理机构或联防组织，统一管理施工场地的治安保卫事项，履行合同工程的治安保卫职责。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9.3.2发包人和承包人除应协助现场治安管理机构或联防组织维护施工场地的社会治安外，还应做好包括生活区在内的各自管辖区的治安保卫工作。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9.4环境保护</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9.4.1承包人在施工过程中，应遵守有关环境保护的法律，履行合同约定的环境保护义务，并对违反法律和合同约定义务所造成的环境破坏、人身伤害和财产损失负责。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9.4.2承包人应按合同约定的环保工作内容，编制施工环保措施计划，报送监理人审批。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9.4.4承包人应按合同约定采取有效措施，对施工开挖的边坡及时进行支护，维护排水设施，并进行水土保护，避免因施工造成的地质灾害。</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9.4.5承包人应按国家饮用水管理标准定期对饮用水源进行监测，防止施工活动污染饮用水源。</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9.4.6承包人应按合同约定，加强对噪声、粉尘、废气、废水和废油的控制，努力降低噪声，控制粉尘和废气浓度，做好废水和废油的治理和排放。</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9.5事故处理</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9.5.1发包人负责组织参建单位制定本工程的质量与安全事故应急预案，建立质量与安全事故应急处置指挥部。</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9.5.2承包人应对施工现场易发生重大事故的部位、环节进行监控，配备救援器材、设备，并定期组织演练。</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9.5.3工程开工前，承包人应根据本工程的特点制定施工现场施工质量与安全事故应急预案，并报发包人备案。</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9.5.4施工过程中发生事故时，发包人、承包人应立即启动应急预案。</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9.5.5事故调查处理由发包人按相关规定履行手续，承包人应配合。</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9.6水土保持</w:t>
      </w:r>
      <w:bookmarkEnd w:id="236"/>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9.6.1发包人应及时向承包人提供水土保持方案。</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9.6.2承包人在施工过程中，应遵守有关水土保持的法律法规和规章，履行合同约定的水土保持义务，并对其违反法律和合同约定义务所造成的水土流失灾害、人身伤害和财产损失负责。</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9.6.3承包人的水土保持措施计划，应满足技术标准和要求（合同技术条款）约定的要求。</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9.7文明工地</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9.7.1发包人应按专用合同条款的约定，负责建立创建文明建设工地的组织机构，制定创建文明建设工地的规划和办法。</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9.7.2承包人应按创建文明建设工地的规划和办法，履行职责，承担相应责任。所需费用应含在已标价工程量清单中。</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9.8防汛度汛</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9.8.1发包人负责组织工程参建单位编制本工程的度汛方案和措施。</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9.8.2承包人应根据发包人编制的本工程度汛方案和措施，制定相应的度汛方案，报发包人批准后实施。</w:t>
      </w:r>
    </w:p>
    <w:p>
      <w:pPr>
        <w:pStyle w:val="72"/>
        <w:spacing w:line="360" w:lineRule="auto"/>
        <w:rPr>
          <w:rFonts w:ascii="宋体" w:hAnsi="宋体" w:eastAsia="宋体" w:cs="宋体"/>
          <w:kern w:val="2"/>
        </w:rPr>
      </w:pPr>
      <w:bookmarkStart w:id="237" w:name="_Toc222029511"/>
      <w:bookmarkStart w:id="238" w:name="_Toc221950840"/>
      <w:bookmarkStart w:id="239" w:name="_Toc222033862"/>
      <w:bookmarkStart w:id="240" w:name="_Toc222031013"/>
      <w:bookmarkStart w:id="241" w:name="_Toc229305371"/>
      <w:bookmarkStart w:id="242" w:name="_Toc222032680"/>
      <w:r>
        <w:rPr>
          <w:rFonts w:hint="eastAsia" w:ascii="宋体" w:hAnsi="宋体" w:eastAsia="宋体" w:cs="宋体"/>
          <w:kern w:val="2"/>
        </w:rPr>
        <w:t>10.进度计划</w:t>
      </w:r>
      <w:bookmarkEnd w:id="237"/>
      <w:bookmarkEnd w:id="238"/>
      <w:bookmarkEnd w:id="239"/>
      <w:bookmarkEnd w:id="240"/>
      <w:bookmarkEnd w:id="241"/>
      <w:bookmarkEnd w:id="242"/>
    </w:p>
    <w:p>
      <w:pPr>
        <w:pStyle w:val="72"/>
        <w:spacing w:line="360" w:lineRule="auto"/>
        <w:rPr>
          <w:rFonts w:ascii="宋体" w:hAnsi="宋体" w:eastAsia="宋体" w:cs="宋体"/>
          <w:kern w:val="2"/>
          <w:sz w:val="24"/>
          <w:szCs w:val="24"/>
        </w:rPr>
      </w:pPr>
      <w:bookmarkStart w:id="243" w:name="_Toc221950843"/>
      <w:r>
        <w:rPr>
          <w:rFonts w:hint="eastAsia" w:ascii="宋体" w:hAnsi="宋体" w:eastAsia="宋体" w:cs="宋体"/>
          <w:kern w:val="2"/>
          <w:sz w:val="24"/>
          <w:szCs w:val="24"/>
        </w:rPr>
        <w:t>10.1合同进度计划</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bookmarkEnd w:id="243"/>
    <w:p>
      <w:pPr>
        <w:pStyle w:val="72"/>
        <w:spacing w:line="360" w:lineRule="auto"/>
        <w:rPr>
          <w:rFonts w:ascii="宋体" w:hAnsi="宋体" w:eastAsia="宋体" w:cs="宋体"/>
          <w:kern w:val="2"/>
          <w:sz w:val="24"/>
          <w:szCs w:val="24"/>
        </w:rPr>
      </w:pPr>
      <w:bookmarkStart w:id="244" w:name="_Toc221950845"/>
      <w:r>
        <w:rPr>
          <w:rFonts w:hint="eastAsia" w:ascii="宋体" w:hAnsi="宋体" w:eastAsia="宋体" w:cs="宋体"/>
          <w:kern w:val="2"/>
          <w:sz w:val="24"/>
          <w:szCs w:val="24"/>
        </w:rPr>
        <w:t>10.2合同进度计划的修订</w:t>
      </w:r>
    </w:p>
    <w:bookmarkEnd w:id="244"/>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pStyle w:val="67"/>
        <w:spacing w:line="360" w:lineRule="auto"/>
        <w:ind w:right="248" w:firstLine="447" w:firstLineChars="213"/>
        <w:rPr>
          <w:rFonts w:ascii="宋体" w:hAnsi="宋体" w:eastAsia="宋体" w:cs="宋体"/>
          <w:kern w:val="2"/>
          <w:sz w:val="21"/>
          <w:szCs w:val="21"/>
        </w:rPr>
      </w:pPr>
      <w:r>
        <w:rPr>
          <w:rFonts w:hint="eastAsia" w:ascii="宋体" w:hAnsi="宋体" w:eastAsia="宋体" w:cs="宋体"/>
          <w:kern w:val="2"/>
          <w:sz w:val="21"/>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pStyle w:val="72"/>
        <w:spacing w:line="360" w:lineRule="auto"/>
        <w:rPr>
          <w:rFonts w:ascii="宋体" w:hAnsi="宋体" w:eastAsia="宋体" w:cs="宋体"/>
          <w:kern w:val="2"/>
          <w:sz w:val="24"/>
          <w:szCs w:val="24"/>
        </w:rPr>
      </w:pPr>
      <w:bookmarkStart w:id="245" w:name="_Toc221950846"/>
      <w:r>
        <w:rPr>
          <w:rFonts w:hint="eastAsia" w:ascii="宋体" w:hAnsi="宋体" w:eastAsia="宋体" w:cs="宋体"/>
          <w:kern w:val="2"/>
          <w:sz w:val="24"/>
          <w:szCs w:val="24"/>
        </w:rPr>
        <w:t>10.3单位工程进度计划</w:t>
      </w:r>
      <w:bookmarkEnd w:id="245"/>
    </w:p>
    <w:p>
      <w:pPr>
        <w:pStyle w:val="67"/>
        <w:spacing w:line="360" w:lineRule="auto"/>
        <w:ind w:right="248" w:firstLine="480"/>
        <w:rPr>
          <w:rFonts w:ascii="宋体" w:hAnsi="宋体" w:eastAsia="宋体" w:cs="宋体"/>
          <w:kern w:val="2"/>
          <w:sz w:val="21"/>
          <w:szCs w:val="21"/>
        </w:rPr>
      </w:pPr>
      <w:bookmarkStart w:id="246" w:name="_Toc221950847"/>
      <w:r>
        <w:rPr>
          <w:rFonts w:hint="eastAsia" w:ascii="宋体" w:hAnsi="宋体" w:eastAsia="宋体" w:cs="宋体"/>
          <w:kern w:val="2"/>
          <w:sz w:val="21"/>
          <w:szCs w:val="21"/>
        </w:rPr>
        <w:t>监理人认为有必要时，承包人应按监理人指示的内容和期限，并根据合同进度计划的进度控制要求，编制单位工程进度计划，提交监理人审批。</w:t>
      </w:r>
      <w:bookmarkEnd w:id="246"/>
    </w:p>
    <w:p>
      <w:pPr>
        <w:pStyle w:val="72"/>
        <w:spacing w:line="360" w:lineRule="auto"/>
        <w:rPr>
          <w:rFonts w:ascii="宋体" w:hAnsi="宋体" w:eastAsia="宋体" w:cs="宋体"/>
          <w:kern w:val="2"/>
          <w:sz w:val="24"/>
          <w:szCs w:val="24"/>
        </w:rPr>
      </w:pPr>
      <w:bookmarkStart w:id="247" w:name="_Toc221950848"/>
      <w:r>
        <w:rPr>
          <w:rFonts w:hint="eastAsia" w:ascii="宋体" w:hAnsi="宋体" w:eastAsia="宋体" w:cs="宋体"/>
          <w:kern w:val="2"/>
          <w:sz w:val="24"/>
          <w:szCs w:val="24"/>
        </w:rPr>
        <w:t>10.4提交资金流估算表</w:t>
      </w:r>
      <w:bookmarkEnd w:id="247"/>
    </w:p>
    <w:p>
      <w:pPr>
        <w:pStyle w:val="67"/>
        <w:spacing w:line="360" w:lineRule="auto"/>
        <w:ind w:right="248" w:firstLine="480"/>
        <w:rPr>
          <w:rFonts w:ascii="宋体" w:hAnsi="宋体" w:eastAsia="宋体" w:cs="宋体"/>
          <w:kern w:val="2"/>
          <w:sz w:val="21"/>
          <w:szCs w:val="21"/>
        </w:rPr>
      </w:pPr>
      <w:bookmarkStart w:id="248" w:name="_Toc221950849"/>
      <w:r>
        <w:rPr>
          <w:rFonts w:hint="eastAsia" w:ascii="宋体" w:hAnsi="宋体" w:eastAsia="宋体" w:cs="宋体"/>
          <w:kern w:val="2"/>
          <w:sz w:val="21"/>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bookmarkEnd w:id="248"/>
    </w:p>
    <w:p>
      <w:pPr>
        <w:pStyle w:val="67"/>
        <w:spacing w:line="360" w:lineRule="auto"/>
        <w:ind w:right="248"/>
        <w:rPr>
          <w:rFonts w:ascii="宋体" w:hAnsi="宋体" w:eastAsia="宋体" w:cs="宋体"/>
          <w:kern w:val="2"/>
          <w:sz w:val="24"/>
        </w:rPr>
      </w:pPr>
      <w:bookmarkStart w:id="249" w:name="_Toc221950850"/>
      <w:r>
        <w:rPr>
          <w:rFonts w:hint="eastAsia" w:ascii="宋体" w:hAnsi="宋体" w:eastAsia="宋体" w:cs="宋体"/>
          <w:b/>
          <w:kern w:val="2"/>
          <w:sz w:val="24"/>
        </w:rPr>
        <w:t>资金流估算表(</w:t>
      </w:r>
      <w:r>
        <w:rPr>
          <w:rFonts w:hint="eastAsia" w:ascii="宋体" w:hAnsi="宋体" w:eastAsia="宋体" w:cs="宋体"/>
          <w:kern w:val="2"/>
          <w:sz w:val="24"/>
        </w:rPr>
        <w:t>参考格式</w:t>
      </w:r>
      <w:r>
        <w:rPr>
          <w:rFonts w:hint="eastAsia" w:ascii="宋体" w:hAnsi="宋体" w:eastAsia="宋体" w:cs="宋体"/>
          <w:b/>
          <w:kern w:val="2"/>
          <w:sz w:val="24"/>
        </w:rPr>
        <w:t>)</w:t>
      </w:r>
      <w:r>
        <w:rPr>
          <w:rFonts w:hint="eastAsia" w:ascii="宋体" w:hAnsi="宋体" w:eastAsia="宋体" w:cs="宋体"/>
          <w:kern w:val="2"/>
          <w:sz w:val="24"/>
        </w:rPr>
        <w:t>金额单位</w:t>
      </w:r>
      <w:bookmarkEnd w:id="249"/>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2"/>
        <w:gridCol w:w="372"/>
        <w:gridCol w:w="862"/>
        <w:gridCol w:w="1038"/>
        <w:gridCol w:w="849"/>
        <w:gridCol w:w="943"/>
        <w:gridCol w:w="849"/>
        <w:gridCol w:w="849"/>
        <w:gridCol w:w="943"/>
        <w:gridCol w:w="10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72" w:type="dxa"/>
            <w:vAlign w:val="center"/>
          </w:tcPr>
          <w:p>
            <w:pPr>
              <w:pStyle w:val="67"/>
              <w:spacing w:line="360" w:lineRule="auto"/>
              <w:ind w:right="248"/>
              <w:jc w:val="center"/>
              <w:rPr>
                <w:rFonts w:ascii="宋体" w:hAnsi="宋体" w:eastAsia="宋体" w:cs="宋体"/>
                <w:kern w:val="2"/>
                <w:sz w:val="21"/>
                <w:szCs w:val="21"/>
              </w:rPr>
            </w:pPr>
            <w:bookmarkStart w:id="250" w:name="_Toc221950851"/>
            <w:r>
              <w:rPr>
                <w:rFonts w:hint="eastAsia" w:ascii="宋体" w:hAnsi="宋体" w:eastAsia="宋体" w:cs="宋体"/>
                <w:kern w:val="2"/>
                <w:sz w:val="21"/>
                <w:szCs w:val="21"/>
              </w:rPr>
              <w:t>年</w:t>
            </w:r>
            <w:bookmarkEnd w:id="250"/>
          </w:p>
        </w:tc>
        <w:tc>
          <w:tcPr>
            <w:tcW w:w="372" w:type="dxa"/>
            <w:vAlign w:val="center"/>
          </w:tcPr>
          <w:p>
            <w:pPr>
              <w:pStyle w:val="67"/>
              <w:spacing w:line="360" w:lineRule="auto"/>
              <w:ind w:right="248"/>
              <w:jc w:val="center"/>
              <w:rPr>
                <w:rFonts w:ascii="宋体" w:hAnsi="宋体" w:eastAsia="宋体" w:cs="宋体"/>
                <w:kern w:val="2"/>
                <w:sz w:val="21"/>
                <w:szCs w:val="21"/>
              </w:rPr>
            </w:pPr>
            <w:bookmarkStart w:id="251" w:name="_Toc221950852"/>
            <w:r>
              <w:rPr>
                <w:rFonts w:hint="eastAsia" w:ascii="宋体" w:hAnsi="宋体" w:eastAsia="宋体" w:cs="宋体"/>
                <w:kern w:val="2"/>
                <w:sz w:val="21"/>
                <w:szCs w:val="21"/>
              </w:rPr>
              <w:t>月</w:t>
            </w:r>
            <w:bookmarkEnd w:id="251"/>
          </w:p>
        </w:tc>
        <w:tc>
          <w:tcPr>
            <w:tcW w:w="862" w:type="dxa"/>
            <w:vAlign w:val="center"/>
          </w:tcPr>
          <w:p>
            <w:pPr>
              <w:pStyle w:val="67"/>
              <w:spacing w:line="360" w:lineRule="auto"/>
              <w:ind w:right="7"/>
              <w:jc w:val="center"/>
              <w:rPr>
                <w:rFonts w:ascii="宋体" w:hAnsi="宋体" w:eastAsia="宋体" w:cs="宋体"/>
                <w:kern w:val="2"/>
                <w:sz w:val="21"/>
                <w:szCs w:val="21"/>
              </w:rPr>
            </w:pPr>
            <w:bookmarkStart w:id="252" w:name="_Toc221950853"/>
            <w:r>
              <w:rPr>
                <w:rFonts w:hint="eastAsia" w:ascii="宋体" w:hAnsi="宋体" w:eastAsia="宋体" w:cs="宋体"/>
                <w:kern w:val="2"/>
                <w:sz w:val="21"/>
                <w:szCs w:val="21"/>
              </w:rPr>
              <w:t>工程</w:t>
            </w:r>
            <w:bookmarkEnd w:id="252"/>
          </w:p>
          <w:p>
            <w:pPr>
              <w:pStyle w:val="67"/>
              <w:spacing w:line="360" w:lineRule="auto"/>
              <w:ind w:right="7"/>
              <w:jc w:val="center"/>
              <w:rPr>
                <w:rFonts w:ascii="宋体" w:hAnsi="宋体" w:eastAsia="宋体" w:cs="宋体"/>
                <w:kern w:val="2"/>
                <w:sz w:val="21"/>
                <w:szCs w:val="21"/>
              </w:rPr>
            </w:pPr>
            <w:bookmarkStart w:id="253" w:name="_Toc221950854"/>
            <w:r>
              <w:rPr>
                <w:rFonts w:hint="eastAsia" w:ascii="宋体" w:hAnsi="宋体" w:eastAsia="宋体" w:cs="宋体"/>
                <w:kern w:val="2"/>
                <w:sz w:val="21"/>
                <w:szCs w:val="21"/>
              </w:rPr>
              <w:t>预付款</w:t>
            </w:r>
            <w:bookmarkEnd w:id="253"/>
          </w:p>
        </w:tc>
        <w:tc>
          <w:tcPr>
            <w:tcW w:w="1038" w:type="dxa"/>
            <w:vAlign w:val="center"/>
          </w:tcPr>
          <w:p>
            <w:pPr>
              <w:pStyle w:val="67"/>
              <w:spacing w:line="360" w:lineRule="auto"/>
              <w:jc w:val="center"/>
              <w:rPr>
                <w:rFonts w:ascii="宋体" w:hAnsi="宋体" w:eastAsia="宋体" w:cs="宋体"/>
                <w:kern w:val="2"/>
                <w:sz w:val="21"/>
                <w:szCs w:val="21"/>
              </w:rPr>
            </w:pPr>
            <w:bookmarkStart w:id="254" w:name="_Toc221950855"/>
            <w:r>
              <w:rPr>
                <w:rFonts w:hint="eastAsia" w:ascii="宋体" w:hAnsi="宋体" w:eastAsia="宋体" w:cs="宋体"/>
                <w:kern w:val="2"/>
                <w:sz w:val="21"/>
                <w:szCs w:val="21"/>
              </w:rPr>
              <w:t>完成工作量付款</w:t>
            </w:r>
            <w:bookmarkEnd w:id="254"/>
          </w:p>
        </w:tc>
        <w:tc>
          <w:tcPr>
            <w:tcW w:w="849" w:type="dxa"/>
            <w:vAlign w:val="center"/>
          </w:tcPr>
          <w:p>
            <w:pPr>
              <w:pStyle w:val="67"/>
              <w:spacing w:line="360" w:lineRule="auto"/>
              <w:jc w:val="center"/>
              <w:rPr>
                <w:rFonts w:ascii="宋体" w:hAnsi="宋体" w:eastAsia="宋体" w:cs="宋体"/>
                <w:kern w:val="2"/>
                <w:sz w:val="21"/>
                <w:szCs w:val="21"/>
              </w:rPr>
            </w:pPr>
            <w:bookmarkStart w:id="255" w:name="_Toc221950856"/>
            <w:r>
              <w:rPr>
                <w:rFonts w:hint="eastAsia" w:ascii="宋体" w:hAnsi="宋体" w:eastAsia="宋体" w:cs="宋体"/>
                <w:kern w:val="2"/>
                <w:sz w:val="21"/>
                <w:szCs w:val="21"/>
              </w:rPr>
              <w:t>质量保证金</w:t>
            </w:r>
            <w:bookmarkEnd w:id="255"/>
            <w:bookmarkStart w:id="256" w:name="_Toc221950857"/>
            <w:r>
              <w:rPr>
                <w:rFonts w:hint="eastAsia" w:ascii="宋体" w:hAnsi="宋体" w:eastAsia="宋体" w:cs="宋体"/>
                <w:kern w:val="2"/>
                <w:sz w:val="21"/>
                <w:szCs w:val="21"/>
              </w:rPr>
              <w:t>扣留</w:t>
            </w:r>
            <w:bookmarkEnd w:id="256"/>
          </w:p>
        </w:tc>
        <w:tc>
          <w:tcPr>
            <w:tcW w:w="943" w:type="dxa"/>
            <w:vAlign w:val="center"/>
          </w:tcPr>
          <w:p>
            <w:pPr>
              <w:pStyle w:val="67"/>
              <w:spacing w:line="360" w:lineRule="auto"/>
              <w:ind w:right="-21"/>
              <w:jc w:val="center"/>
              <w:rPr>
                <w:rFonts w:ascii="宋体" w:hAnsi="宋体" w:eastAsia="宋体" w:cs="宋体"/>
                <w:kern w:val="2"/>
                <w:sz w:val="21"/>
                <w:szCs w:val="21"/>
              </w:rPr>
            </w:pPr>
            <w:bookmarkStart w:id="257" w:name="_Toc221950858"/>
            <w:r>
              <w:rPr>
                <w:rFonts w:hint="eastAsia" w:ascii="宋体" w:hAnsi="宋体" w:eastAsia="宋体" w:cs="宋体"/>
                <w:kern w:val="2"/>
                <w:sz w:val="21"/>
                <w:szCs w:val="21"/>
              </w:rPr>
              <w:t>材料款</w:t>
            </w:r>
            <w:bookmarkEnd w:id="257"/>
          </w:p>
          <w:p>
            <w:pPr>
              <w:pStyle w:val="67"/>
              <w:spacing w:line="360" w:lineRule="auto"/>
              <w:ind w:right="-21"/>
              <w:jc w:val="center"/>
              <w:rPr>
                <w:rFonts w:ascii="宋体" w:hAnsi="宋体" w:eastAsia="宋体" w:cs="宋体"/>
                <w:kern w:val="2"/>
                <w:sz w:val="21"/>
                <w:szCs w:val="21"/>
              </w:rPr>
            </w:pPr>
            <w:bookmarkStart w:id="258" w:name="_Toc221950859"/>
            <w:r>
              <w:rPr>
                <w:rFonts w:hint="eastAsia" w:ascii="宋体" w:hAnsi="宋体" w:eastAsia="宋体" w:cs="宋体"/>
                <w:kern w:val="2"/>
                <w:sz w:val="21"/>
                <w:szCs w:val="21"/>
              </w:rPr>
              <w:t>扣除</w:t>
            </w:r>
            <w:bookmarkEnd w:id="258"/>
          </w:p>
        </w:tc>
        <w:tc>
          <w:tcPr>
            <w:tcW w:w="849" w:type="dxa"/>
            <w:vAlign w:val="center"/>
          </w:tcPr>
          <w:p>
            <w:pPr>
              <w:pStyle w:val="67"/>
              <w:spacing w:line="360" w:lineRule="auto"/>
              <w:ind w:right="-21"/>
              <w:jc w:val="center"/>
              <w:rPr>
                <w:rFonts w:ascii="宋体" w:hAnsi="宋体" w:eastAsia="宋体" w:cs="宋体"/>
                <w:kern w:val="2"/>
                <w:sz w:val="21"/>
                <w:szCs w:val="21"/>
              </w:rPr>
            </w:pPr>
            <w:bookmarkStart w:id="259" w:name="_Toc221950860"/>
            <w:r>
              <w:rPr>
                <w:rFonts w:hint="eastAsia" w:ascii="宋体" w:hAnsi="宋体" w:eastAsia="宋体" w:cs="宋体"/>
                <w:kern w:val="2"/>
                <w:sz w:val="21"/>
                <w:szCs w:val="21"/>
              </w:rPr>
              <w:t>预付款</w:t>
            </w:r>
            <w:bookmarkEnd w:id="259"/>
          </w:p>
          <w:p>
            <w:pPr>
              <w:pStyle w:val="67"/>
              <w:spacing w:line="360" w:lineRule="auto"/>
              <w:jc w:val="center"/>
              <w:rPr>
                <w:rFonts w:ascii="宋体" w:hAnsi="宋体" w:eastAsia="宋体" w:cs="宋体"/>
                <w:kern w:val="2"/>
                <w:sz w:val="21"/>
                <w:szCs w:val="21"/>
              </w:rPr>
            </w:pPr>
            <w:bookmarkStart w:id="260" w:name="_Toc221950861"/>
            <w:r>
              <w:rPr>
                <w:rFonts w:hint="eastAsia" w:ascii="宋体" w:hAnsi="宋体" w:eastAsia="宋体" w:cs="宋体"/>
                <w:kern w:val="2"/>
                <w:sz w:val="21"/>
                <w:szCs w:val="21"/>
              </w:rPr>
              <w:t>扣还</w:t>
            </w:r>
            <w:bookmarkEnd w:id="260"/>
          </w:p>
        </w:tc>
        <w:tc>
          <w:tcPr>
            <w:tcW w:w="849" w:type="dxa"/>
            <w:vAlign w:val="center"/>
          </w:tcPr>
          <w:p>
            <w:pPr>
              <w:pStyle w:val="67"/>
              <w:spacing w:line="360" w:lineRule="auto"/>
              <w:jc w:val="center"/>
              <w:rPr>
                <w:rFonts w:ascii="宋体" w:hAnsi="宋体" w:eastAsia="宋体" w:cs="宋体"/>
                <w:kern w:val="2"/>
                <w:sz w:val="21"/>
                <w:szCs w:val="21"/>
              </w:rPr>
            </w:pPr>
            <w:bookmarkStart w:id="261" w:name="_Toc221950862"/>
            <w:r>
              <w:rPr>
                <w:rFonts w:hint="eastAsia" w:ascii="宋体" w:hAnsi="宋体" w:eastAsia="宋体" w:cs="宋体"/>
                <w:kern w:val="2"/>
                <w:sz w:val="21"/>
                <w:szCs w:val="21"/>
              </w:rPr>
              <w:t>其他</w:t>
            </w:r>
            <w:bookmarkEnd w:id="261"/>
          </w:p>
        </w:tc>
        <w:tc>
          <w:tcPr>
            <w:tcW w:w="943" w:type="dxa"/>
            <w:vAlign w:val="center"/>
          </w:tcPr>
          <w:p>
            <w:pPr>
              <w:pStyle w:val="67"/>
              <w:spacing w:line="360" w:lineRule="auto"/>
              <w:jc w:val="center"/>
              <w:rPr>
                <w:rFonts w:ascii="宋体" w:hAnsi="宋体" w:eastAsia="宋体" w:cs="宋体"/>
                <w:kern w:val="2"/>
                <w:sz w:val="21"/>
                <w:szCs w:val="21"/>
              </w:rPr>
            </w:pPr>
            <w:bookmarkStart w:id="262" w:name="_Toc221950863"/>
            <w:r>
              <w:rPr>
                <w:rFonts w:hint="eastAsia" w:ascii="宋体" w:hAnsi="宋体" w:eastAsia="宋体" w:cs="宋体"/>
                <w:kern w:val="2"/>
                <w:sz w:val="21"/>
                <w:szCs w:val="21"/>
              </w:rPr>
              <w:t>应收款</w:t>
            </w:r>
            <w:bookmarkEnd w:id="262"/>
          </w:p>
        </w:tc>
        <w:tc>
          <w:tcPr>
            <w:tcW w:w="1038" w:type="dxa"/>
            <w:vAlign w:val="center"/>
          </w:tcPr>
          <w:p>
            <w:pPr>
              <w:pStyle w:val="67"/>
              <w:spacing w:line="360" w:lineRule="auto"/>
              <w:jc w:val="center"/>
              <w:rPr>
                <w:rFonts w:ascii="宋体" w:hAnsi="宋体" w:eastAsia="宋体" w:cs="宋体"/>
                <w:kern w:val="2"/>
                <w:sz w:val="21"/>
                <w:szCs w:val="21"/>
              </w:rPr>
            </w:pPr>
            <w:bookmarkStart w:id="263" w:name="_Toc221950864"/>
            <w:r>
              <w:rPr>
                <w:rFonts w:hint="eastAsia" w:ascii="宋体" w:hAnsi="宋体" w:eastAsia="宋体" w:cs="宋体"/>
                <w:kern w:val="2"/>
                <w:sz w:val="21"/>
                <w:szCs w:val="21"/>
              </w:rPr>
              <w:t>累计</w:t>
            </w:r>
            <w:bookmarkEnd w:id="263"/>
          </w:p>
          <w:p>
            <w:pPr>
              <w:pStyle w:val="67"/>
              <w:spacing w:line="360" w:lineRule="auto"/>
              <w:jc w:val="center"/>
              <w:rPr>
                <w:rFonts w:ascii="宋体" w:hAnsi="宋体" w:eastAsia="宋体" w:cs="宋体"/>
                <w:kern w:val="2"/>
                <w:sz w:val="21"/>
                <w:szCs w:val="21"/>
              </w:rPr>
            </w:pPr>
            <w:bookmarkStart w:id="264" w:name="_Toc221950865"/>
            <w:r>
              <w:rPr>
                <w:rFonts w:hint="eastAsia" w:ascii="宋体" w:hAnsi="宋体" w:eastAsia="宋体" w:cs="宋体"/>
                <w:kern w:val="2"/>
                <w:sz w:val="21"/>
                <w:szCs w:val="21"/>
              </w:rPr>
              <w:t>应收款</w:t>
            </w:r>
            <w:bookmarkEnd w:id="2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72" w:type="dxa"/>
            <w:vAlign w:val="center"/>
          </w:tcPr>
          <w:p>
            <w:pPr>
              <w:pStyle w:val="67"/>
              <w:spacing w:line="360" w:lineRule="auto"/>
              <w:ind w:right="248"/>
              <w:jc w:val="center"/>
              <w:rPr>
                <w:rFonts w:ascii="宋体" w:hAnsi="宋体" w:eastAsia="宋体" w:cs="宋体"/>
                <w:kern w:val="2"/>
                <w:sz w:val="24"/>
              </w:rPr>
            </w:pPr>
          </w:p>
        </w:tc>
        <w:tc>
          <w:tcPr>
            <w:tcW w:w="372" w:type="dxa"/>
            <w:vAlign w:val="center"/>
          </w:tcPr>
          <w:p>
            <w:pPr>
              <w:pStyle w:val="67"/>
              <w:spacing w:line="360" w:lineRule="auto"/>
              <w:ind w:right="248"/>
              <w:jc w:val="center"/>
              <w:rPr>
                <w:rFonts w:ascii="宋体" w:hAnsi="宋体" w:eastAsia="宋体" w:cs="宋体"/>
                <w:kern w:val="2"/>
                <w:sz w:val="24"/>
              </w:rPr>
            </w:pPr>
          </w:p>
        </w:tc>
        <w:tc>
          <w:tcPr>
            <w:tcW w:w="862" w:type="dxa"/>
            <w:vAlign w:val="center"/>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943"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849" w:type="dxa"/>
          </w:tcPr>
          <w:p>
            <w:pPr>
              <w:pStyle w:val="67"/>
              <w:spacing w:line="360" w:lineRule="auto"/>
              <w:ind w:right="248"/>
              <w:jc w:val="center"/>
              <w:rPr>
                <w:rFonts w:ascii="宋体" w:hAnsi="宋体" w:eastAsia="宋体" w:cs="宋体"/>
                <w:kern w:val="2"/>
                <w:sz w:val="24"/>
              </w:rPr>
            </w:pPr>
          </w:p>
        </w:tc>
        <w:tc>
          <w:tcPr>
            <w:tcW w:w="943" w:type="dxa"/>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72" w:type="dxa"/>
            <w:vAlign w:val="center"/>
          </w:tcPr>
          <w:p>
            <w:pPr>
              <w:pStyle w:val="67"/>
              <w:spacing w:line="360" w:lineRule="auto"/>
              <w:ind w:right="248"/>
              <w:jc w:val="center"/>
              <w:rPr>
                <w:rFonts w:ascii="宋体" w:hAnsi="宋体" w:eastAsia="宋体" w:cs="宋体"/>
                <w:kern w:val="2"/>
                <w:sz w:val="24"/>
              </w:rPr>
            </w:pPr>
          </w:p>
        </w:tc>
        <w:tc>
          <w:tcPr>
            <w:tcW w:w="372" w:type="dxa"/>
            <w:vAlign w:val="center"/>
          </w:tcPr>
          <w:p>
            <w:pPr>
              <w:pStyle w:val="67"/>
              <w:spacing w:line="360" w:lineRule="auto"/>
              <w:ind w:right="248"/>
              <w:jc w:val="center"/>
              <w:rPr>
                <w:rFonts w:ascii="宋体" w:hAnsi="宋体" w:eastAsia="宋体" w:cs="宋体"/>
                <w:kern w:val="2"/>
                <w:sz w:val="24"/>
              </w:rPr>
            </w:pPr>
          </w:p>
        </w:tc>
        <w:tc>
          <w:tcPr>
            <w:tcW w:w="862" w:type="dxa"/>
            <w:vAlign w:val="center"/>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943"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849" w:type="dxa"/>
          </w:tcPr>
          <w:p>
            <w:pPr>
              <w:pStyle w:val="67"/>
              <w:spacing w:line="360" w:lineRule="auto"/>
              <w:ind w:right="248"/>
              <w:jc w:val="center"/>
              <w:rPr>
                <w:rFonts w:ascii="宋体" w:hAnsi="宋体" w:eastAsia="宋体" w:cs="宋体"/>
                <w:kern w:val="2"/>
                <w:sz w:val="24"/>
              </w:rPr>
            </w:pPr>
          </w:p>
        </w:tc>
        <w:tc>
          <w:tcPr>
            <w:tcW w:w="943" w:type="dxa"/>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72" w:type="dxa"/>
            <w:vAlign w:val="center"/>
          </w:tcPr>
          <w:p>
            <w:pPr>
              <w:pStyle w:val="67"/>
              <w:spacing w:line="360" w:lineRule="auto"/>
              <w:ind w:right="248"/>
              <w:jc w:val="center"/>
              <w:rPr>
                <w:rFonts w:ascii="宋体" w:hAnsi="宋体" w:eastAsia="宋体" w:cs="宋体"/>
                <w:kern w:val="2"/>
                <w:sz w:val="24"/>
              </w:rPr>
            </w:pPr>
          </w:p>
        </w:tc>
        <w:tc>
          <w:tcPr>
            <w:tcW w:w="372" w:type="dxa"/>
            <w:vAlign w:val="center"/>
          </w:tcPr>
          <w:p>
            <w:pPr>
              <w:pStyle w:val="67"/>
              <w:spacing w:line="360" w:lineRule="auto"/>
              <w:ind w:right="248"/>
              <w:jc w:val="center"/>
              <w:rPr>
                <w:rFonts w:ascii="宋体" w:hAnsi="宋体" w:eastAsia="宋体" w:cs="宋体"/>
                <w:kern w:val="2"/>
                <w:sz w:val="24"/>
              </w:rPr>
            </w:pPr>
          </w:p>
        </w:tc>
        <w:tc>
          <w:tcPr>
            <w:tcW w:w="862" w:type="dxa"/>
            <w:vAlign w:val="center"/>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943" w:type="dxa"/>
            <w:vAlign w:val="center"/>
          </w:tcPr>
          <w:p>
            <w:pPr>
              <w:pStyle w:val="67"/>
              <w:spacing w:line="360" w:lineRule="auto"/>
              <w:ind w:right="248"/>
              <w:jc w:val="center"/>
              <w:rPr>
                <w:rFonts w:ascii="宋体" w:hAnsi="宋体" w:eastAsia="宋体" w:cs="宋体"/>
                <w:kern w:val="2"/>
                <w:sz w:val="24"/>
              </w:rPr>
            </w:pPr>
          </w:p>
        </w:tc>
        <w:tc>
          <w:tcPr>
            <w:tcW w:w="849" w:type="dxa"/>
            <w:vAlign w:val="center"/>
          </w:tcPr>
          <w:p>
            <w:pPr>
              <w:pStyle w:val="67"/>
              <w:spacing w:line="360" w:lineRule="auto"/>
              <w:ind w:right="248"/>
              <w:jc w:val="center"/>
              <w:rPr>
                <w:rFonts w:ascii="宋体" w:hAnsi="宋体" w:eastAsia="宋体" w:cs="宋体"/>
                <w:kern w:val="2"/>
                <w:sz w:val="24"/>
              </w:rPr>
            </w:pPr>
          </w:p>
        </w:tc>
        <w:tc>
          <w:tcPr>
            <w:tcW w:w="849" w:type="dxa"/>
          </w:tcPr>
          <w:p>
            <w:pPr>
              <w:pStyle w:val="67"/>
              <w:spacing w:line="360" w:lineRule="auto"/>
              <w:ind w:right="248"/>
              <w:jc w:val="center"/>
              <w:rPr>
                <w:rFonts w:ascii="宋体" w:hAnsi="宋体" w:eastAsia="宋体" w:cs="宋体"/>
                <w:kern w:val="2"/>
                <w:sz w:val="24"/>
              </w:rPr>
            </w:pPr>
          </w:p>
        </w:tc>
        <w:tc>
          <w:tcPr>
            <w:tcW w:w="943" w:type="dxa"/>
          </w:tcPr>
          <w:p>
            <w:pPr>
              <w:pStyle w:val="67"/>
              <w:spacing w:line="360" w:lineRule="auto"/>
              <w:ind w:right="248"/>
              <w:jc w:val="center"/>
              <w:rPr>
                <w:rFonts w:ascii="宋体" w:hAnsi="宋体" w:eastAsia="宋体" w:cs="宋体"/>
                <w:kern w:val="2"/>
                <w:sz w:val="24"/>
              </w:rPr>
            </w:pPr>
          </w:p>
        </w:tc>
        <w:tc>
          <w:tcPr>
            <w:tcW w:w="1038" w:type="dxa"/>
            <w:vAlign w:val="center"/>
          </w:tcPr>
          <w:p>
            <w:pPr>
              <w:pStyle w:val="67"/>
              <w:spacing w:line="360" w:lineRule="auto"/>
              <w:ind w:right="248"/>
              <w:jc w:val="center"/>
              <w:rPr>
                <w:rFonts w:ascii="宋体" w:hAnsi="宋体" w:eastAsia="宋体" w:cs="宋体"/>
                <w:kern w:val="2"/>
                <w:sz w:val="24"/>
              </w:rPr>
            </w:pPr>
          </w:p>
        </w:tc>
      </w:tr>
    </w:tbl>
    <w:p>
      <w:pPr>
        <w:pStyle w:val="72"/>
        <w:spacing w:line="360" w:lineRule="auto"/>
        <w:rPr>
          <w:rFonts w:ascii="宋体" w:hAnsi="宋体" w:eastAsia="宋体" w:cs="宋体"/>
          <w:kern w:val="2"/>
        </w:rPr>
      </w:pPr>
      <w:bookmarkStart w:id="265" w:name="_Toc222032681"/>
      <w:bookmarkStart w:id="266" w:name="_Toc229305372"/>
      <w:bookmarkStart w:id="267" w:name="_Toc222031014"/>
      <w:bookmarkStart w:id="268" w:name="_Toc222029512"/>
      <w:bookmarkStart w:id="269" w:name="_Toc221950866"/>
      <w:bookmarkStart w:id="270" w:name="_Toc222033863"/>
      <w:r>
        <w:rPr>
          <w:rFonts w:hint="eastAsia" w:ascii="宋体" w:hAnsi="宋体" w:eastAsia="宋体" w:cs="宋体"/>
          <w:kern w:val="2"/>
        </w:rPr>
        <w:t>11.开工和竣工</w:t>
      </w:r>
      <w:bookmarkEnd w:id="265"/>
      <w:bookmarkEnd w:id="266"/>
      <w:bookmarkEnd w:id="267"/>
      <w:bookmarkEnd w:id="268"/>
      <w:bookmarkEnd w:id="269"/>
      <w:bookmarkEnd w:id="270"/>
      <w:r>
        <w:rPr>
          <w:rFonts w:hint="eastAsia" w:ascii="宋体" w:hAnsi="宋体" w:eastAsia="宋体" w:cs="宋体"/>
          <w:kern w:val="2"/>
        </w:rPr>
        <w:t>（完工）</w:t>
      </w:r>
    </w:p>
    <w:p>
      <w:pPr>
        <w:pStyle w:val="72"/>
        <w:spacing w:line="360" w:lineRule="auto"/>
        <w:rPr>
          <w:rFonts w:ascii="宋体" w:hAnsi="宋体" w:eastAsia="宋体" w:cs="宋体"/>
          <w:kern w:val="2"/>
          <w:sz w:val="24"/>
          <w:szCs w:val="24"/>
        </w:rPr>
      </w:pPr>
      <w:bookmarkStart w:id="271" w:name="_Toc221950869"/>
      <w:r>
        <w:rPr>
          <w:rFonts w:hint="eastAsia" w:ascii="宋体" w:hAnsi="宋体" w:eastAsia="宋体" w:cs="宋体"/>
          <w:kern w:val="2"/>
          <w:sz w:val="24"/>
          <w:szCs w:val="24"/>
        </w:rPr>
        <w:t>11.1开工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11.1.1监理人应在开工日期7天前向承包人发出开工通知。监理人在发出开工通知前应获得发包人同意。工期自监理人发出的开工通知中载明的开工日期起计算。承包人应在开工日期后尽快施工。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11.1.2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11.1.3若发包人未能按合同约定向承包人提供开工的必要条件，承包人有权要求延长工期。监理人应在收到承包人的书面要求后，按第3.5款的约定，与合同双方商定或确定增加的费用和延长的工期。</w:t>
      </w:r>
      <w:bookmarkEnd w:id="271"/>
    </w:p>
    <w:p>
      <w:pPr>
        <w:pStyle w:val="67"/>
        <w:spacing w:line="360" w:lineRule="auto"/>
        <w:ind w:right="248" w:firstLine="480"/>
        <w:rPr>
          <w:rFonts w:ascii="宋体" w:hAnsi="宋体" w:eastAsia="宋体" w:cs="宋体"/>
          <w:kern w:val="2"/>
          <w:sz w:val="21"/>
          <w:szCs w:val="21"/>
        </w:rPr>
      </w:pPr>
      <w:bookmarkStart w:id="272" w:name="_Toc221950870"/>
      <w:r>
        <w:rPr>
          <w:rFonts w:hint="eastAsia" w:ascii="宋体" w:hAnsi="宋体" w:eastAsia="宋体" w:cs="宋体"/>
          <w:kern w:val="2"/>
          <w:sz w:val="21"/>
          <w:szCs w:val="21"/>
        </w:rP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bookmarkEnd w:id="272"/>
    </w:p>
    <w:p>
      <w:pPr>
        <w:pStyle w:val="72"/>
        <w:spacing w:line="360" w:lineRule="auto"/>
        <w:rPr>
          <w:rFonts w:ascii="宋体" w:hAnsi="宋体" w:eastAsia="宋体" w:cs="宋体"/>
          <w:kern w:val="2"/>
          <w:sz w:val="24"/>
          <w:szCs w:val="24"/>
        </w:rPr>
      </w:pPr>
      <w:bookmarkStart w:id="273" w:name="_Toc221950875"/>
      <w:r>
        <w:rPr>
          <w:rFonts w:hint="eastAsia" w:ascii="宋体" w:hAnsi="宋体" w:eastAsia="宋体" w:cs="宋体"/>
          <w:kern w:val="2"/>
          <w:sz w:val="24"/>
          <w:szCs w:val="24"/>
        </w:rPr>
        <w:t>11.2竣工（完工）</w:t>
      </w:r>
    </w:p>
    <w:bookmarkEnd w:id="273"/>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承包人应在第1.1.4.3目约定的期限内完成合同工程。合同工程实际完工日期在合同工程完工证书中明确。</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11.3发包人的工期延误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在履行合同过程中，由于发包人的下列原因造成工期延误的，承包人有权要求发包人延长工期和（或）增加费用，并支付合理利润。需要修订合同进度计划的，按照第10.2款的约定办理。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(l）增加合同工作内容；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(2）改变合同中任何一项工作的质量要求或其他特性；</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(3）发包人迟延提供材料、工程设备或变更交货地点的；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(4）因发包人原因导致的暂停施工；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(5）提供图纸延误；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(6）未按合同约定及时支付预付款、进度款；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(7）发包人造成工期延误的其他原因。</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11.4异常恶劣的气候条件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11.4.2异常恶劣气候条件造成的工期延误和工程损坏，应由发包人与承包人参照本合同通用合同条款第21.3款的约定协商处理。</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11.4.3本合同工程界定异常恶劣气候条件的范围在专用合同条款中约定。</w:t>
      </w:r>
    </w:p>
    <w:p>
      <w:pPr>
        <w:pStyle w:val="72"/>
        <w:spacing w:line="360" w:lineRule="auto"/>
        <w:rPr>
          <w:rFonts w:ascii="宋体" w:hAnsi="宋体" w:eastAsia="宋体" w:cs="宋体"/>
          <w:kern w:val="2"/>
          <w:sz w:val="24"/>
          <w:szCs w:val="24"/>
        </w:rPr>
      </w:pPr>
      <w:bookmarkStart w:id="274" w:name="_Toc221950882"/>
      <w:r>
        <w:rPr>
          <w:rFonts w:hint="eastAsia" w:ascii="宋体" w:hAnsi="宋体" w:eastAsia="宋体" w:cs="宋体"/>
          <w:kern w:val="2"/>
          <w:sz w:val="24"/>
          <w:szCs w:val="24"/>
        </w:rPr>
        <w:t>11.5承包人的工期延误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11.6工期提前</w:t>
      </w:r>
    </w:p>
    <w:bookmarkEnd w:id="274"/>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发包人要求提前完工的，双方协商一致后应签订提前完工协议，协议内容包括：</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（1）提前的时间和修订后的进度计划；</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（2）承包人的赶工措施；</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（3）发包人为赶工提供的条件；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（4）赶工费用（包括利润和奖金）。</w:t>
      </w:r>
    </w:p>
    <w:p>
      <w:pPr>
        <w:pStyle w:val="72"/>
        <w:spacing w:line="360" w:lineRule="auto"/>
        <w:rPr>
          <w:rFonts w:ascii="宋体" w:hAnsi="宋体" w:eastAsia="宋体" w:cs="宋体"/>
          <w:kern w:val="2"/>
        </w:rPr>
      </w:pPr>
      <w:bookmarkStart w:id="275" w:name="_Toc222031015"/>
      <w:bookmarkStart w:id="276" w:name="_Toc222033864"/>
      <w:bookmarkStart w:id="277" w:name="_Toc222029513"/>
      <w:bookmarkStart w:id="278" w:name="_Toc229305373"/>
      <w:bookmarkStart w:id="279" w:name="_Toc222032682"/>
      <w:bookmarkStart w:id="280" w:name="_Toc221950888"/>
      <w:r>
        <w:rPr>
          <w:rFonts w:hint="eastAsia" w:ascii="宋体" w:hAnsi="宋体" w:eastAsia="宋体" w:cs="宋体"/>
          <w:kern w:val="2"/>
        </w:rPr>
        <w:t>12.暂停施工</w:t>
      </w:r>
      <w:bookmarkEnd w:id="275"/>
      <w:bookmarkEnd w:id="276"/>
      <w:bookmarkEnd w:id="277"/>
      <w:bookmarkEnd w:id="278"/>
      <w:bookmarkEnd w:id="279"/>
      <w:bookmarkEnd w:id="280"/>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12.1承包人暂停施工的责任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因下列暂停施工增加的费用和（或）工期延误由承包人承担：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(1）承包人违约引起的暂停施工；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(2）由于承包人原因为工程合理施工和安全保障所必需的暂停施工；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(3）承包人擅自暂停施工；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(4）承包人其他原因引起的暂停施工；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(5）专用合同条款约定由承包人承担的其他暂停施工。</w:t>
      </w:r>
    </w:p>
    <w:p>
      <w:pPr>
        <w:pStyle w:val="72"/>
        <w:spacing w:line="360" w:lineRule="auto"/>
        <w:rPr>
          <w:rFonts w:ascii="宋体" w:hAnsi="宋体" w:eastAsia="宋体" w:cs="宋体"/>
          <w:kern w:val="2"/>
          <w:sz w:val="24"/>
          <w:szCs w:val="24"/>
        </w:rPr>
      </w:pPr>
      <w:bookmarkStart w:id="281" w:name="_Toc221950893"/>
      <w:r>
        <w:rPr>
          <w:rFonts w:hint="eastAsia" w:ascii="宋体" w:hAnsi="宋体" w:eastAsia="宋体" w:cs="宋体"/>
          <w:kern w:val="2"/>
          <w:sz w:val="24"/>
          <w:szCs w:val="24"/>
        </w:rPr>
        <w:t>12.2发包人暂停施工的责任</w:t>
      </w:r>
    </w:p>
    <w:bookmarkEnd w:id="281"/>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由于发包人原因引起的暂停施工造成工期延误的，承包人有权要求发包人延长工期和（或）增加费用，并支付合理利润。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属于下列任何一种情况引起的暂停施工，均为发包人的责任：</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（1）由于发包人违约引起的暂停施工；</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（2）由于不可抗力的自然或社会因素引起的暂停施工；</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（3）专用合同条款中约定的其它由于发包人原因引起的暂停施工。</w:t>
      </w:r>
    </w:p>
    <w:p>
      <w:pPr>
        <w:pStyle w:val="72"/>
        <w:spacing w:line="360" w:lineRule="auto"/>
        <w:rPr>
          <w:rFonts w:ascii="宋体" w:hAnsi="宋体" w:eastAsia="宋体" w:cs="宋体"/>
          <w:kern w:val="2"/>
          <w:sz w:val="24"/>
          <w:szCs w:val="24"/>
        </w:rPr>
      </w:pPr>
      <w:bookmarkStart w:id="282" w:name="_Toc222029514"/>
      <w:bookmarkStart w:id="283" w:name="_Toc229305374"/>
      <w:bookmarkStart w:id="284" w:name="_Toc222033865"/>
      <w:bookmarkStart w:id="285" w:name="_Toc222031016"/>
      <w:bookmarkStart w:id="286" w:name="_Toc222032683"/>
      <w:bookmarkStart w:id="287" w:name="_Toc221950903"/>
      <w:r>
        <w:rPr>
          <w:rFonts w:hint="eastAsia" w:ascii="宋体" w:hAnsi="宋体" w:eastAsia="宋体" w:cs="宋体"/>
          <w:kern w:val="2"/>
          <w:sz w:val="24"/>
          <w:szCs w:val="24"/>
        </w:rPr>
        <w:t>12.3监理人暂停施工指示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12.3.1监理人认为有必要时，可向承包人作出暂停施工的指示，承包人应按监理人指示暂停施工。不论由于何种原因引起的暂停施工，暂停施工期间承包人应负责妥善保护工程并提供安全保障。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12.4暂停施工后的复工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12.4.2承包人无故拖延和拒绝复工的，由此增加的费用和工期延误由承包人承担；因发包人原因无法按时复工的，承包人有权要求发包人延长工期和（或）增加费用，并支付合理利润。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12.5暂停施工持续56天以上</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款的规定办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12.5.2由于承包人责任引起的暂停施工，如承包人在收到监理人暂停施工指示后56天内不认真采取有效的复工措施，造成工期延误，可视为承包人违约，应按第22.1款的规定办理。</w:t>
      </w:r>
    </w:p>
    <w:p>
      <w:pPr>
        <w:pStyle w:val="72"/>
        <w:spacing w:line="360" w:lineRule="auto"/>
        <w:rPr>
          <w:rFonts w:ascii="宋体" w:hAnsi="宋体" w:eastAsia="宋体" w:cs="宋体"/>
          <w:kern w:val="2"/>
        </w:rPr>
      </w:pPr>
      <w:r>
        <w:rPr>
          <w:rFonts w:hint="eastAsia" w:ascii="宋体" w:hAnsi="宋体" w:eastAsia="宋体" w:cs="宋体"/>
          <w:kern w:val="2"/>
        </w:rPr>
        <w:t>13.工程质量</w:t>
      </w:r>
      <w:bookmarkEnd w:id="282"/>
      <w:bookmarkEnd w:id="283"/>
      <w:bookmarkEnd w:id="284"/>
      <w:bookmarkEnd w:id="285"/>
      <w:bookmarkEnd w:id="286"/>
      <w:bookmarkEnd w:id="287"/>
    </w:p>
    <w:p>
      <w:pPr>
        <w:pStyle w:val="72"/>
        <w:spacing w:line="360" w:lineRule="auto"/>
        <w:rPr>
          <w:rFonts w:ascii="宋体" w:hAnsi="宋体" w:eastAsia="宋体" w:cs="宋体"/>
          <w:kern w:val="2"/>
          <w:sz w:val="24"/>
          <w:szCs w:val="24"/>
        </w:rPr>
      </w:pPr>
      <w:bookmarkStart w:id="288" w:name="_Toc221950906"/>
      <w:r>
        <w:rPr>
          <w:rFonts w:hint="eastAsia" w:ascii="宋体" w:hAnsi="宋体" w:eastAsia="宋体" w:cs="宋体"/>
          <w:kern w:val="2"/>
          <w:sz w:val="24"/>
          <w:szCs w:val="24"/>
        </w:rPr>
        <w:t>13.1工程质量要求</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13.1.1工程质量验收按合同约定验收标准执行。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13.1.2因承包人原因造成工程质量达不到合同约定验收标准的，监理人有权要求承包人返工直至符合合同要求为止，由此造成的费用增加和（或）工期延误由承包人承担。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13.1.3因发包人原因造成工程质量达不到合同约定验收标准的，发包人应承担由于承包人返工造成的费用增加和（或）工期延误，并支付承包人合理利润。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13.2承包人的质量管理</w:t>
      </w:r>
      <w:bookmarkEnd w:id="288"/>
    </w:p>
    <w:p>
      <w:pPr>
        <w:pStyle w:val="67"/>
        <w:spacing w:line="360" w:lineRule="auto"/>
        <w:ind w:right="248" w:firstLine="480"/>
        <w:rPr>
          <w:rFonts w:ascii="宋体" w:hAnsi="宋体" w:eastAsia="宋体" w:cs="宋体"/>
          <w:kern w:val="2"/>
          <w:sz w:val="21"/>
          <w:szCs w:val="21"/>
        </w:rPr>
      </w:pPr>
      <w:bookmarkStart w:id="289" w:name="_Toc221950914"/>
      <w:r>
        <w:rPr>
          <w:rFonts w:hint="eastAsia" w:ascii="宋体" w:hAnsi="宋体" w:eastAsia="宋体" w:cs="宋体"/>
          <w:kern w:val="2"/>
          <w:sz w:val="21"/>
          <w:szCs w:val="21"/>
        </w:rPr>
        <w:t>13.2.1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13.2.2承包人应加强对施工人员的质量教育和技术培训，定期考核施工人员的劳动技能，严格执行规范和操作规程。</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13.3承包人的质量检查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承包人应按合同约定对材料、工程设备以及工程的所有部位及其施工工艺进行全过程的质量检查和检验，并作详细记录，编制工程质量报表，报送监理人审查。</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13.4监理人的质量检查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13.5工程隐蔽部位覆盖前的检查</w:t>
      </w:r>
    </w:p>
    <w:p>
      <w:pPr>
        <w:pStyle w:val="67"/>
        <w:spacing w:line="360" w:lineRule="auto"/>
        <w:ind w:firstLine="420" w:firstLineChars="200"/>
        <w:rPr>
          <w:rFonts w:ascii="宋体" w:hAnsi="宋体" w:eastAsia="宋体" w:cs="宋体"/>
          <w:kern w:val="2"/>
          <w:sz w:val="21"/>
        </w:rPr>
      </w:pPr>
      <w:r>
        <w:rPr>
          <w:rFonts w:hint="eastAsia" w:ascii="宋体" w:hAnsi="宋体" w:eastAsia="宋体" w:cs="宋体"/>
          <w:kern w:val="2"/>
          <w:sz w:val="21"/>
        </w:rPr>
        <w:t>13.5.1通知监理人检查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13.5.2监理人未到场检查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监理人未按第13.5.l项约定的时间进行检查的，除监理人另有指示外，承包人可自行完成覆盖工作，并作相应记录报送监理人，监理人应签字确认。监理人事后对检查记录有疑问的，可按第13.5.3项的约定重新检查。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13.5.3监理人重新检查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13.5.4承包人私自覆盖</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承包人未通知监理人到场检查，私自将工程隐蔽部位覆盖的，监理人有权指示承包人钻孔探测或揭开检查，由此增加的费用和（或）工期延误由承包人承担。</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13.6清除不合格工程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13.6.2由于发包人提供的材料或工程设备不合格造成的工程不合格，需要承包人采取措施补救的，发包人应承担由此增加的费用和（或）工期延误，并支付承包人合理利润。</w:t>
      </w:r>
    </w:p>
    <w:bookmarkEnd w:id="289"/>
    <w:p>
      <w:pPr>
        <w:pStyle w:val="72"/>
        <w:spacing w:line="360" w:lineRule="auto"/>
        <w:rPr>
          <w:rFonts w:ascii="宋体" w:hAnsi="宋体" w:eastAsia="宋体" w:cs="宋体"/>
          <w:kern w:val="2"/>
          <w:sz w:val="24"/>
          <w:szCs w:val="24"/>
        </w:rPr>
      </w:pPr>
      <w:bookmarkStart w:id="290" w:name="_Toc229305375"/>
      <w:bookmarkStart w:id="291" w:name="_Toc222029515"/>
      <w:bookmarkStart w:id="292" w:name="_Toc221950917"/>
      <w:bookmarkStart w:id="293" w:name="_Toc222031017"/>
      <w:bookmarkStart w:id="294" w:name="_Toc222033866"/>
      <w:bookmarkStart w:id="295" w:name="_Toc222032684"/>
      <w:r>
        <w:rPr>
          <w:rFonts w:hint="eastAsia" w:ascii="宋体" w:hAnsi="宋体" w:eastAsia="宋体" w:cs="宋体"/>
          <w:kern w:val="2"/>
          <w:sz w:val="24"/>
          <w:szCs w:val="24"/>
        </w:rPr>
        <w:t>13.7质量评定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13.7.1发包人应组织承包人进行工程项目划分，并确定单位工程、主要分部工程、重要隐蔽单元工程和关键部位单元工程。</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13.7.2工程实施过程中，单位工程、主要分部工程、重要隐蔽单元工程和关键部位单元工程的项目划分需要调整时，承包人应报发包人确认。</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13.7.3承包人应在单元（工序）工程质量自评合格后，报监理人核定质量等级并签证认可。</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13.7.4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13.7.5承包人应在分部工程质量自评合格后，报监理人复核和发包人认定。发包人负责按有关规定完成分部工程质量结论报工程质量监督机构核备（核定）手续。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13.7.6承包人应在单位工程质量自评合格后，报监理人复核和发包人认定。发包人负责按有关规定完成单位工程质量结论报工程质量监督机构核定手续。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13.7.7除专用合同条款另有约定外，工程质量等级分为合格和优良，应分别达到约定的标准。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13.8质量事故处理</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13.8.1发生质量事故时，承包人应及时向发包人和监理人报告。</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13.8.2质量事故调查处理由发包人按相关规定履行手续，承包人应配合。</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13.8.3承包人应对质量缺陷进行备案。发包人委托监理人对质量缺陷备案情况进行监督检查并履行相关手续。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13.8.4除专用合同条款另有约定外，工程竣工验收时，发包人负责向竣工验收委员会汇报并提交历次质量缺陷处理的备案资料。</w:t>
      </w:r>
    </w:p>
    <w:p>
      <w:pPr>
        <w:pStyle w:val="72"/>
        <w:spacing w:line="360" w:lineRule="auto"/>
        <w:rPr>
          <w:rFonts w:ascii="宋体" w:hAnsi="宋体" w:eastAsia="宋体" w:cs="宋体"/>
          <w:kern w:val="2"/>
        </w:rPr>
      </w:pPr>
      <w:r>
        <w:rPr>
          <w:rFonts w:hint="eastAsia" w:ascii="宋体" w:hAnsi="宋体" w:eastAsia="宋体" w:cs="宋体"/>
          <w:kern w:val="2"/>
        </w:rPr>
        <w:t>14.试验和检验</w:t>
      </w:r>
      <w:bookmarkEnd w:id="290"/>
      <w:bookmarkEnd w:id="291"/>
      <w:bookmarkEnd w:id="292"/>
      <w:bookmarkEnd w:id="293"/>
      <w:bookmarkEnd w:id="294"/>
      <w:bookmarkEnd w:id="295"/>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14.1材料、工程设备和工程的试验和检验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14.1.2监理人未按合同约定派员参加试验和检验的，除监理人另有指示外，承包人可自行试验和检验，并应立即将试验和检验结果报送监理人，监理人应签字确认。</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14.1.4承包人应按相关规定和标准对水泥、钢材等原材料与中间产品质量进行检验，并报监理人复核。</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14.1.6对专用合同条款约定的试块、试件及有关材料，监理人实行见证取样。见证取样资料由承包人制备，记录应真实齐全，监理人、承包人等参与见证取样人员均应在相关文件上签字。</w:t>
      </w:r>
    </w:p>
    <w:p>
      <w:pPr>
        <w:pStyle w:val="72"/>
        <w:spacing w:line="360" w:lineRule="auto"/>
        <w:rPr>
          <w:rFonts w:ascii="宋体" w:hAnsi="宋体" w:eastAsia="宋体" w:cs="宋体"/>
          <w:kern w:val="2"/>
        </w:rPr>
      </w:pPr>
      <w:bookmarkStart w:id="296" w:name="_Toc222033867"/>
      <w:bookmarkStart w:id="297" w:name="_Toc222032685"/>
      <w:bookmarkStart w:id="298" w:name="_Toc229305376"/>
      <w:bookmarkStart w:id="299" w:name="_Toc222031018"/>
      <w:bookmarkStart w:id="300" w:name="_Toc221950924"/>
      <w:bookmarkStart w:id="301" w:name="_Toc222029516"/>
      <w:r>
        <w:rPr>
          <w:rFonts w:hint="eastAsia" w:ascii="宋体" w:hAnsi="宋体" w:eastAsia="宋体" w:cs="宋体"/>
          <w:kern w:val="2"/>
        </w:rPr>
        <w:t>15.变更</w:t>
      </w:r>
      <w:bookmarkEnd w:id="296"/>
      <w:bookmarkEnd w:id="297"/>
      <w:bookmarkEnd w:id="298"/>
      <w:bookmarkEnd w:id="299"/>
      <w:bookmarkEnd w:id="300"/>
      <w:bookmarkEnd w:id="301"/>
    </w:p>
    <w:p>
      <w:pPr>
        <w:pStyle w:val="72"/>
        <w:spacing w:line="360" w:lineRule="auto"/>
        <w:rPr>
          <w:rFonts w:ascii="宋体" w:hAnsi="宋体" w:eastAsia="宋体" w:cs="宋体"/>
          <w:kern w:val="2"/>
          <w:sz w:val="24"/>
          <w:szCs w:val="24"/>
        </w:rPr>
      </w:pPr>
      <w:bookmarkStart w:id="302" w:name="_Toc221950925"/>
      <w:r>
        <w:rPr>
          <w:rFonts w:hint="eastAsia" w:ascii="宋体" w:hAnsi="宋体" w:eastAsia="宋体" w:cs="宋体"/>
          <w:kern w:val="2"/>
          <w:sz w:val="24"/>
          <w:szCs w:val="24"/>
        </w:rPr>
        <w:t>15.1变更的范围和内容</w:t>
      </w:r>
      <w:bookmarkEnd w:id="302"/>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在履行合同中发生以下情形之一，应按照本款规定进行变更。</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（1）取消合同中任何一项工作，但被取消的工作不能转由发包人或其它人实施；</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（2）改变合同中任何一项工作的质量或其它特性；</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（3）改变合同工程的基线、标高、位置或尺寸；</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（4）改变合同中任何一项工作的施工时间或改变已批准的施工工艺或顺序；</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（5）为完成工程需要追加的额外工作；</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（6）增加或减少专用合同条款中约定的关键项目工程量超过其工程总量的一定数量百分比。</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上述第（1）～（6）目的变更内容引起工程施工组织和进度计划发生实质性变动和影响其原定的价格时，才予调整该项目的单价。第（6）目情形下单价调整方式在专用合同条款中约定。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15.2变更权</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在履行合同过程中，经发包人同意，监理人可按第15.3款约定的变更程序向承包人作出变更指示，承包人应遵照执行。没有监理人的变更指示，承包人不得擅自变更。</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15.3笠更程序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15.3.1变更的提出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(2）在合同履行过程中，发生第15.1款约定情形的，监理人应按照第15.3.3项约定向承包人发出变更指示。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(4）若承包人收到监理人的变更意向书后认为难以实施此项变更，应立即通知监理人，说明原因并附详细依据。监理人与承包人和发包人协商后确定撤销、改变或不改变原变更意向书。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15.3.2变更估价</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(2）变更工作影响工期的，承包人应提出调整工期的具体细节。监理人认为有必要时，可要求承包人提交要求提前或延长工期的施工进度计划及相应施工措施等详细资料。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(3）除专用合同条款对期限另有约定外，监理人收到承包人变更报价书后的14天内，根据第15.4款约定的估价原则，按照第3.5款商定或确定变更价格。</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15.3.3变更指示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(l）变更指示只能由监理人发出。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(2）变更指示应说明变更的目的、范围、变更内容以及变更的工程量及其进度和技术要求，并附有关图纸和文件。承包人收到变更指示后，应按变更指示进行变更工作。</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15.4变更的估价原则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除专用合同条款另有约定外，因变更引起的价格调整按照本款约定处理。15.4.1己标价工程量清单中有适用于变更工作的子目的，采用该子目的单价。</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15.4.2己标价工程量清单中无适用于变更工作的子目，但有类似子目的，可在合理范围内参照类似子目的单价，由监理人按第3.5款商定或确定变更工作的单价。</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15.4.3己标价工程量清单中无适用或类似子目的单价，可按照成本加利润的原则，由监理人按第3.5款商定或确定变更工作的单价。</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15.5承包人的合理化建议</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15.5.2承包人提出的合理化建议降低了合同价格、缩短了工期或者提高了工程经济效益的，发包人可按国家有关规定在专用合同条款中约定给予奖励。</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15.6暂列金额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暂列金额只能按照监理人的指示使用，并对合同价格进行相应调整。</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15.7计日工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15.7.1发包人认为有必要时，由监理人通知承包人以计日工方式实施变更的零星工作。其价款按列入已标价工程量清单中的计日工计价子目及其单价进行计算．,</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15.7.2采用计日工计价的任何一项变更工作，应从暂列金额中支付，承包人应在该项变更的实施过程中，每天提交以下报表和有关凭证报送监理人审批：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(l）工作名称、内容和数量；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(2）投入该工作所有人员的姓名、工种、级别和耗用工时；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(3）投入该工作的材料类别和数量；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(4）投入该工作的施工设备型号、台数和耗用台时；</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(5）监理人要求提交的其他资料和凭证。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15.7.3计日工由承包人汇总后，按第17.3.2项的约定列入进度付款申请单，由监理人复核并经发包人同意后列入进度付款。</w:t>
      </w:r>
    </w:p>
    <w:p>
      <w:pPr>
        <w:pStyle w:val="72"/>
        <w:spacing w:line="360" w:lineRule="auto"/>
        <w:rPr>
          <w:rFonts w:ascii="宋体" w:hAnsi="宋体" w:eastAsia="宋体" w:cs="宋体"/>
          <w:kern w:val="2"/>
          <w:sz w:val="24"/>
          <w:szCs w:val="24"/>
        </w:rPr>
      </w:pPr>
      <w:bookmarkStart w:id="303" w:name="_Toc221950942"/>
      <w:r>
        <w:rPr>
          <w:rFonts w:hint="eastAsia" w:ascii="宋体" w:hAnsi="宋体" w:eastAsia="宋体" w:cs="宋体"/>
          <w:kern w:val="2"/>
          <w:sz w:val="24"/>
          <w:szCs w:val="24"/>
        </w:rPr>
        <w:t>15.8暂估价</w:t>
      </w:r>
      <w:bookmarkEnd w:id="303"/>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2"/>
        <w:spacing w:line="360" w:lineRule="auto"/>
        <w:rPr>
          <w:rFonts w:ascii="宋体" w:hAnsi="宋体" w:eastAsia="宋体" w:cs="宋体"/>
          <w:kern w:val="2"/>
        </w:rPr>
      </w:pPr>
      <w:bookmarkStart w:id="304" w:name="_Toc222029517"/>
      <w:bookmarkStart w:id="305" w:name="_Toc222033868"/>
      <w:bookmarkStart w:id="306" w:name="_Toc222032686"/>
      <w:bookmarkStart w:id="307" w:name="_Toc222031019"/>
      <w:bookmarkStart w:id="308" w:name="_Toc221950944"/>
      <w:bookmarkStart w:id="309" w:name="_Toc229305377"/>
      <w:r>
        <w:rPr>
          <w:rFonts w:hint="eastAsia" w:ascii="宋体" w:hAnsi="宋体" w:eastAsia="宋体" w:cs="宋体"/>
          <w:kern w:val="2"/>
        </w:rPr>
        <w:t>16.价格调整</w:t>
      </w:r>
      <w:bookmarkEnd w:id="304"/>
      <w:bookmarkEnd w:id="305"/>
      <w:bookmarkEnd w:id="306"/>
      <w:bookmarkEnd w:id="307"/>
      <w:bookmarkEnd w:id="308"/>
      <w:bookmarkEnd w:id="309"/>
    </w:p>
    <w:p>
      <w:pPr>
        <w:pStyle w:val="72"/>
        <w:spacing w:line="360" w:lineRule="auto"/>
        <w:rPr>
          <w:rFonts w:ascii="宋体" w:hAnsi="宋体" w:eastAsia="宋体" w:cs="宋体"/>
          <w:kern w:val="2"/>
          <w:sz w:val="24"/>
          <w:szCs w:val="24"/>
        </w:rPr>
      </w:pPr>
      <w:bookmarkStart w:id="310" w:name="_Toc221950945"/>
      <w:r>
        <w:rPr>
          <w:rFonts w:hint="eastAsia" w:ascii="宋体" w:hAnsi="宋体" w:eastAsia="宋体" w:cs="宋体"/>
          <w:kern w:val="2"/>
          <w:sz w:val="24"/>
          <w:szCs w:val="24"/>
        </w:rPr>
        <w:t>16.1物价波动引起的价格调整</w:t>
      </w:r>
      <w:bookmarkEnd w:id="310"/>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由于物价波动原因引起合同价格需要调整的，其价格调整方式在专用合同条款中约定。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16.1.1采用价格指数调整价格差额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16.1.1.1价格调整公式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因人工、材料和设备等价格波动影响合同价格时，根据投标函附录中的价格指数和权重表约定的数据，按以下公式计算差额并调整合同价格。</w:t>
      </w:r>
    </w:p>
    <w:p>
      <w:pPr>
        <w:pStyle w:val="67"/>
        <w:spacing w:line="360" w:lineRule="auto"/>
        <w:ind w:firstLine="2205" w:firstLineChars="1050"/>
        <w:rPr>
          <w:rFonts w:ascii="宋体" w:hAnsi="宋体" w:eastAsia="宋体" w:cs="宋体"/>
          <w:kern w:val="2"/>
          <w:sz w:val="21"/>
          <w:szCs w:val="21"/>
        </w:rPr>
      </w:pP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t1</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t2</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t3</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tn</w:t>
      </w:r>
    </w:p>
    <w:p>
      <w:pPr>
        <w:pStyle w:val="67"/>
        <w:numPr>
          <w:ilvl w:val="0"/>
          <w:numId w:val="5"/>
        </w:numPr>
        <w:spacing w:line="360" w:lineRule="auto"/>
        <w:rPr>
          <w:rFonts w:ascii="宋体" w:hAnsi="宋体" w:eastAsia="宋体" w:cs="宋体"/>
          <w:kern w:val="2"/>
          <w:sz w:val="21"/>
          <w:szCs w:val="21"/>
        </w:rPr>
      </w:pPr>
      <w:r>
        <w:rPr>
          <w:rFonts w:hint="eastAsia" w:ascii="宋体" w:hAnsi="宋体" w:eastAsia="宋体" w:cs="宋体"/>
          <w:kern w:val="2"/>
          <w:sz w:val="21"/>
          <w:szCs w:val="21"/>
        </w:rPr>
        <w:t>P=P</w:t>
      </w:r>
      <w:r>
        <w:rPr>
          <w:rFonts w:hint="eastAsia" w:ascii="宋体" w:hAnsi="宋体" w:eastAsia="宋体" w:cs="宋体"/>
          <w:kern w:val="2"/>
          <w:sz w:val="21"/>
          <w:szCs w:val="21"/>
          <w:vertAlign w:val="subscript"/>
        </w:rPr>
        <w:t>O</w:t>
      </w:r>
      <w:r>
        <w:rPr>
          <w:rFonts w:hint="eastAsia" w:ascii="宋体" w:hAnsi="宋体" w:eastAsia="宋体" w:cs="宋体"/>
          <w:kern w:val="2"/>
          <w:sz w:val="21"/>
          <w:szCs w:val="21"/>
        </w:rPr>
        <w:t>［A+｛B</w:t>
      </w:r>
      <w:r>
        <w:rPr>
          <w:rFonts w:hint="eastAsia" w:ascii="宋体" w:hAnsi="宋体" w:eastAsia="宋体" w:cs="宋体"/>
          <w:kern w:val="2"/>
          <w:sz w:val="21"/>
          <w:szCs w:val="21"/>
          <w:vertAlign w:val="subscript"/>
        </w:rPr>
        <w:t>1</w:t>
      </w:r>
      <w:r>
        <w:rPr>
          <w:rFonts w:hint="eastAsia" w:ascii="宋体" w:hAnsi="宋体" w:eastAsia="宋体" w:cs="宋体"/>
          <w:kern w:val="2"/>
          <w:sz w:val="21"/>
          <w:szCs w:val="21"/>
        </w:rPr>
        <w:t>×—＋B</w:t>
      </w:r>
      <w:r>
        <w:rPr>
          <w:rFonts w:hint="eastAsia" w:ascii="宋体" w:hAnsi="宋体" w:eastAsia="宋体" w:cs="宋体"/>
          <w:kern w:val="2"/>
          <w:sz w:val="21"/>
          <w:szCs w:val="21"/>
          <w:vertAlign w:val="subscript"/>
        </w:rPr>
        <w:t>2</w:t>
      </w:r>
      <w:r>
        <w:rPr>
          <w:rFonts w:hint="eastAsia" w:ascii="宋体" w:hAnsi="宋体" w:eastAsia="宋体" w:cs="宋体"/>
          <w:kern w:val="2"/>
          <w:sz w:val="21"/>
          <w:szCs w:val="21"/>
        </w:rPr>
        <w:t>×—＋B</w:t>
      </w:r>
      <w:r>
        <w:rPr>
          <w:rFonts w:hint="eastAsia" w:ascii="宋体" w:hAnsi="宋体" w:eastAsia="宋体" w:cs="宋体"/>
          <w:kern w:val="2"/>
          <w:sz w:val="21"/>
          <w:szCs w:val="21"/>
          <w:vertAlign w:val="subscript"/>
        </w:rPr>
        <w:t>3</w:t>
      </w:r>
      <w:r>
        <w:rPr>
          <w:rFonts w:hint="eastAsia" w:ascii="宋体" w:hAnsi="宋体" w:eastAsia="宋体" w:cs="宋体"/>
          <w:kern w:val="2"/>
          <w:sz w:val="21"/>
          <w:szCs w:val="21"/>
        </w:rPr>
        <w:t>×—＋…＋B</w:t>
      </w:r>
      <w:r>
        <w:rPr>
          <w:rFonts w:hint="eastAsia" w:ascii="宋体" w:hAnsi="宋体" w:eastAsia="宋体" w:cs="宋体"/>
          <w:kern w:val="2"/>
          <w:sz w:val="21"/>
          <w:szCs w:val="21"/>
          <w:vertAlign w:val="subscript"/>
        </w:rPr>
        <w:t>n</w:t>
      </w:r>
      <w:r>
        <w:rPr>
          <w:rFonts w:hint="eastAsia" w:ascii="宋体" w:hAnsi="宋体" w:eastAsia="宋体" w:cs="宋体"/>
          <w:kern w:val="2"/>
          <w:sz w:val="21"/>
          <w:szCs w:val="21"/>
        </w:rPr>
        <w:t>×—｝－1］</w:t>
      </w:r>
    </w:p>
    <w:p>
      <w:pPr>
        <w:pStyle w:val="67"/>
        <w:spacing w:line="360" w:lineRule="auto"/>
        <w:ind w:left="420" w:leftChars="200" w:firstLine="1785" w:firstLineChars="850"/>
        <w:rPr>
          <w:rFonts w:ascii="宋体" w:hAnsi="宋体" w:eastAsia="宋体" w:cs="宋体"/>
          <w:kern w:val="2"/>
          <w:sz w:val="21"/>
          <w:szCs w:val="21"/>
        </w:rPr>
      </w:pP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01</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02</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03</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04</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式中：△P一需调整的价格差额；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P</w:t>
      </w:r>
      <w:r>
        <w:rPr>
          <w:rFonts w:hint="eastAsia" w:ascii="宋体" w:hAnsi="宋体" w:eastAsia="宋体" w:cs="宋体"/>
          <w:kern w:val="2"/>
          <w:sz w:val="21"/>
          <w:szCs w:val="21"/>
          <w:vertAlign w:val="subscript"/>
        </w:rPr>
        <w:t>O</w:t>
      </w:r>
      <w:r>
        <w:rPr>
          <w:rFonts w:hint="eastAsia" w:ascii="宋体" w:hAnsi="宋体" w:eastAsia="宋体" w:cs="宋体"/>
          <w:kern w:val="2"/>
          <w:sz w:val="21"/>
          <w:szCs w:val="21"/>
        </w:rPr>
        <w:t>一第17.3.3项、第17.5.2项和第17.6.2项约定的付款证书中承包人应得到的己完成工程量的金额。此项金额应不包括价格调整、不计质量保证金的扣留和支付、预付款的支付和扣回。第15条约定的变更及其他金额已按现行价格计价的，也不计在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A---定值权重（即不调部分的权重）；</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B</w:t>
      </w:r>
      <w:r>
        <w:rPr>
          <w:rFonts w:hint="eastAsia" w:ascii="宋体" w:hAnsi="宋体" w:eastAsia="宋体" w:cs="宋体"/>
          <w:kern w:val="2"/>
          <w:sz w:val="28"/>
          <w:szCs w:val="28"/>
          <w:vertAlign w:val="subscript"/>
        </w:rPr>
        <w:t>1</w:t>
      </w:r>
      <w:r>
        <w:rPr>
          <w:rFonts w:hint="eastAsia" w:ascii="宋体" w:hAnsi="宋体" w:eastAsia="宋体" w:cs="宋体"/>
          <w:kern w:val="2"/>
          <w:sz w:val="21"/>
          <w:szCs w:val="21"/>
        </w:rPr>
        <w:t>；B</w:t>
      </w:r>
      <w:r>
        <w:rPr>
          <w:rFonts w:hint="eastAsia" w:ascii="宋体" w:hAnsi="宋体" w:eastAsia="宋体" w:cs="宋体"/>
          <w:kern w:val="2"/>
          <w:sz w:val="28"/>
          <w:szCs w:val="28"/>
          <w:vertAlign w:val="subscript"/>
        </w:rPr>
        <w:t>2</w:t>
      </w:r>
      <w:r>
        <w:rPr>
          <w:rFonts w:hint="eastAsia" w:ascii="宋体" w:hAnsi="宋体" w:eastAsia="宋体" w:cs="宋体"/>
          <w:kern w:val="2"/>
          <w:sz w:val="21"/>
          <w:szCs w:val="21"/>
        </w:rPr>
        <w:t>；B</w:t>
      </w:r>
      <w:r>
        <w:rPr>
          <w:rFonts w:hint="eastAsia" w:ascii="宋体" w:hAnsi="宋体" w:eastAsia="宋体" w:cs="宋体"/>
          <w:kern w:val="2"/>
          <w:sz w:val="28"/>
          <w:szCs w:val="28"/>
          <w:vertAlign w:val="subscript"/>
        </w:rPr>
        <w:t>3</w:t>
      </w:r>
      <w:r>
        <w:rPr>
          <w:rFonts w:hint="eastAsia" w:ascii="宋体" w:hAnsi="宋体" w:eastAsia="宋体" w:cs="宋体"/>
          <w:kern w:val="2"/>
          <w:sz w:val="21"/>
          <w:szCs w:val="21"/>
        </w:rPr>
        <w:t>；……B</w:t>
      </w:r>
      <w:r>
        <w:rPr>
          <w:rFonts w:hint="eastAsia" w:ascii="宋体" w:hAnsi="宋体" w:eastAsia="宋体" w:cs="宋体"/>
          <w:kern w:val="2"/>
          <w:sz w:val="28"/>
          <w:szCs w:val="28"/>
          <w:vertAlign w:val="subscript"/>
        </w:rPr>
        <w:t>n</w:t>
      </w:r>
      <w:r>
        <w:rPr>
          <w:rFonts w:hint="eastAsia" w:ascii="宋体" w:hAnsi="宋体" w:eastAsia="宋体" w:cs="宋体"/>
          <w:kern w:val="2"/>
          <w:sz w:val="21"/>
          <w:szCs w:val="21"/>
        </w:rPr>
        <w:t>---各可调因子的变值权重（即可调部分的权重）为各可调因子在投标函投标总报价中所占的比例；</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t1</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t2</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t3</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tn</w:t>
      </w:r>
      <w:r>
        <w:rPr>
          <w:rFonts w:hint="eastAsia" w:ascii="宋体" w:hAnsi="宋体" w:eastAsia="宋体" w:cs="宋体"/>
          <w:kern w:val="2"/>
          <w:sz w:val="21"/>
          <w:szCs w:val="21"/>
        </w:rPr>
        <w:t>---各可调因子的现行价格指数，指第17.3.3项、第17.5.2项和第17.6.2项约定的付款证书相关周期最后一天的前42天的各可调因子的价格指数；</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01</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02</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03</w:t>
      </w:r>
      <w:r>
        <w:rPr>
          <w:rFonts w:hint="eastAsia" w:ascii="宋体" w:hAnsi="宋体" w:eastAsia="宋体" w:cs="宋体"/>
          <w:kern w:val="2"/>
          <w:sz w:val="21"/>
          <w:szCs w:val="21"/>
        </w:rPr>
        <w:t>；……F</w:t>
      </w:r>
      <w:r>
        <w:rPr>
          <w:rFonts w:hint="eastAsia" w:ascii="宋体" w:hAnsi="宋体" w:eastAsia="宋体" w:cs="宋体"/>
          <w:kern w:val="2"/>
          <w:sz w:val="28"/>
          <w:szCs w:val="28"/>
          <w:vertAlign w:val="subscript"/>
        </w:rPr>
        <w:t>0n</w:t>
      </w:r>
      <w:r>
        <w:rPr>
          <w:rFonts w:hint="eastAsia" w:ascii="宋体" w:hAnsi="宋体" w:eastAsia="宋体" w:cs="宋体"/>
          <w:kern w:val="2"/>
          <w:sz w:val="21"/>
          <w:szCs w:val="21"/>
        </w:rPr>
        <w:t>---各可调因子的基本价格指数，指基准日期的各可调因子的价格指数。</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16.1.1.2暂时确定调整差额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在计算调整差额时得不到现行价格指数的，可暂用上一次价格指数计算，并在以后的付款中再按实际价格指数进行调整。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16.1.1.3权重的调整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按第15.1款约定的变更导致原定合同中的权重不合理时，由监理人与承包人和发包人协商后进行调整。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16.1.1.4承包人工期延误后的价格调整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16.1.2采用造价信息调整价格差额</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工程造价信息的来源以及价格调整的项目和系数在专用合同条款中约定。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16.2法律变化引起的价格调整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2"/>
        <w:spacing w:line="360" w:lineRule="auto"/>
        <w:rPr>
          <w:rFonts w:ascii="宋体" w:hAnsi="宋体" w:eastAsia="宋体" w:cs="宋体"/>
          <w:kern w:val="2"/>
        </w:rPr>
      </w:pPr>
      <w:bookmarkStart w:id="311" w:name="_Toc222032687"/>
      <w:bookmarkStart w:id="312" w:name="_Toc229305378"/>
      <w:bookmarkStart w:id="313" w:name="_Toc222033869"/>
      <w:bookmarkStart w:id="314" w:name="_Toc221950995"/>
      <w:bookmarkStart w:id="315" w:name="_Toc222029518"/>
      <w:bookmarkStart w:id="316" w:name="_Toc222031020"/>
      <w:r>
        <w:rPr>
          <w:rFonts w:hint="eastAsia" w:ascii="宋体" w:hAnsi="宋体" w:eastAsia="宋体" w:cs="宋体"/>
          <w:kern w:val="2"/>
        </w:rPr>
        <w:t>17.计量与支付</w:t>
      </w:r>
      <w:bookmarkEnd w:id="311"/>
      <w:bookmarkEnd w:id="312"/>
      <w:bookmarkEnd w:id="313"/>
      <w:bookmarkEnd w:id="314"/>
      <w:bookmarkEnd w:id="315"/>
      <w:bookmarkEnd w:id="316"/>
    </w:p>
    <w:p>
      <w:pPr>
        <w:pStyle w:val="72"/>
        <w:spacing w:line="360" w:lineRule="auto"/>
        <w:rPr>
          <w:rFonts w:ascii="宋体" w:hAnsi="宋体" w:eastAsia="宋体" w:cs="宋体"/>
          <w:kern w:val="2"/>
          <w:sz w:val="24"/>
          <w:szCs w:val="24"/>
        </w:rPr>
      </w:pPr>
      <w:bookmarkStart w:id="317" w:name="_Toc221950996"/>
      <w:r>
        <w:rPr>
          <w:rFonts w:hint="eastAsia" w:ascii="宋体" w:hAnsi="宋体" w:eastAsia="宋体" w:cs="宋体"/>
          <w:kern w:val="2"/>
          <w:sz w:val="24"/>
          <w:szCs w:val="24"/>
        </w:rPr>
        <w:t>17.1计量</w:t>
      </w:r>
      <w:bookmarkEnd w:id="317"/>
    </w:p>
    <w:p>
      <w:pPr>
        <w:pStyle w:val="67"/>
        <w:spacing w:line="360" w:lineRule="auto"/>
        <w:ind w:firstLine="420" w:firstLineChars="200"/>
        <w:rPr>
          <w:rFonts w:ascii="宋体" w:hAnsi="宋体" w:eastAsia="宋体" w:cs="宋体"/>
          <w:kern w:val="2"/>
          <w:sz w:val="21"/>
          <w:szCs w:val="21"/>
        </w:rPr>
      </w:pPr>
      <w:bookmarkStart w:id="318" w:name="_Toc221951004"/>
      <w:r>
        <w:rPr>
          <w:rFonts w:hint="eastAsia" w:ascii="宋体" w:hAnsi="宋体" w:eastAsia="宋体" w:cs="宋体"/>
          <w:kern w:val="2"/>
          <w:sz w:val="21"/>
          <w:szCs w:val="21"/>
        </w:rPr>
        <w:t>17.1.1计量单位</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计量采用国家法定的计量单位。</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17.1.2计量方法</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结算工程量应按工程量清单中约定的方法计量。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17.1.3计量周期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除专用合同条款另有约定外，单价子目已完成工程量按月计量，总价子目的计量周期按批准的支付分解报告确定。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17.1.4单价子目的计量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(l）已标价工程量清单中的单价子目工程量为估算工程量。结算工程量是承包人实际完成的，并按合同约定的计量方法进行计量的工程量。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(2）承包人对己完成的工程进行计量，向监理人提交进度付款申请单、己完成工程量报表和有关计量资料。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(4）监理人认为有必要时，可通知承包人共同进行联合测量、计量，承包人应遵照执行。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(6）监理人应在收到承包人提交的工程量报表后的7天内进行复核，监理人未在约定时间内复核的，承包人提交的工程量报表中的工程量视为承包人实际完成的工程量，据此计算工程价款。</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17.1.5总价子目的计量</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总价子目的分解和计量按照下述约定进行。</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（1）总价子目的计量和支付应以总价为基础，不因第16.1款中的因素而进行调整。承包人实际完成的工程量，是进行工程目标管理和控制进度支付的依据。</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（3）监理人对承包人提交的上述资料进行复核，以确定分阶段实际完成的工程量和工程形象目标。对其有异议的，可要求承包人按第8.2款约定进行共同复核和抽样复测。</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（4）除按照第15条约定的变更外，总价子目的工程量是承包人用于结算的最终工程量。</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17.2预付款</w:t>
      </w:r>
      <w:bookmarkEnd w:id="318"/>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17.2.1预付款</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17.2.2预付款保函（担保）</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（1）承包人应在收到第一次工程预付款的同时向发包人提交工程预付款担保，担保金额应与第一次工程预付款金额相同，工程预付款担保在第一次工程预付款被发包人扣回前一直有效。</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（2）工程材料预付款的担保在专用合同条款中约定。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（3）预付款担保的担保金额可根据预付款扣回的金额相应递减。</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17.2.3预付款的扣回与还清</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17.3工程进度付款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17.3.1付款周期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付款周期同计量周期。</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17.3.2进度付款申请单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承包人应在每个付款周期末，按监理人批准的格式和专用合同条款约定的份数，向监理人提交进度付款中请单，并附相应的支持性证明文件。除专用合同条款另有约定外，进度付款申请单应包括下列内容：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(l）截至本次付款周期末己实施工程的价款；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(2）根据第15条应增加和扣减的变更金额；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(3）根据第23条应增加和扣减的索赔金额；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(4）才浸据第17.2款约定应支付的预付款和扣减的返还预付款；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(5）根据第17.4.1项约定应扣减的质量保证金；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(6）根据合同应增加和扣减的其他金额。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17.3.3进度付款证书和支付时间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(2）发包人应在监理人收到进度付款中请单后的28天内，将进度应付款支付给承包人。发包人不按期支付的，按专用合同条款的约定支付逾期付款违约金。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(3）监理人出具进度付款证书，不应视为监理人己同意、批准或接受了承包人完成的该部分工作。</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(4）进度付款涉及政府投资资金的，按照国库集中支付等国家相关规定和专用合同条款的约定办理。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17.3.4工程进度付款的修正</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pPr>
        <w:pStyle w:val="72"/>
        <w:spacing w:line="360" w:lineRule="auto"/>
        <w:rPr>
          <w:rFonts w:ascii="宋体" w:hAnsi="宋体" w:eastAsia="宋体" w:cs="宋体"/>
          <w:kern w:val="2"/>
          <w:sz w:val="24"/>
          <w:szCs w:val="24"/>
        </w:rPr>
      </w:pPr>
      <w:bookmarkStart w:id="319" w:name="_Toc221951013"/>
      <w:r>
        <w:rPr>
          <w:rFonts w:hint="eastAsia" w:ascii="宋体" w:hAnsi="宋体" w:eastAsia="宋体" w:cs="宋体"/>
          <w:kern w:val="2"/>
          <w:sz w:val="24"/>
          <w:szCs w:val="24"/>
        </w:rPr>
        <w:t>17.4质量保证金</w:t>
      </w:r>
      <w:bookmarkEnd w:id="319"/>
    </w:p>
    <w:p>
      <w:pPr>
        <w:pStyle w:val="67"/>
        <w:spacing w:line="360" w:lineRule="auto"/>
        <w:ind w:right="248" w:firstLine="480"/>
        <w:rPr>
          <w:rFonts w:ascii="宋体" w:hAnsi="宋体" w:eastAsia="宋体" w:cs="宋体"/>
          <w:kern w:val="2"/>
          <w:sz w:val="21"/>
          <w:szCs w:val="21"/>
        </w:rPr>
      </w:pPr>
      <w:bookmarkStart w:id="320" w:name="_Toc221951015"/>
      <w:r>
        <w:rPr>
          <w:rFonts w:hint="eastAsia" w:ascii="宋体" w:hAnsi="宋体" w:eastAsia="宋体" w:cs="宋体"/>
          <w:kern w:val="2"/>
          <w:sz w:val="21"/>
          <w:szCs w:val="21"/>
        </w:rPr>
        <w:t>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17.4.3在第1.1.4.5目约定的缺陷责任期满时，承包人没有完成缺陷责任的，发包人有权扣留与未履行责任剩余工作所需金额相应的质量保证金余额，并有权根据第19.3款约定要求延长缺陷责任期，直至完成剩余工作为止。</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17.5竣工结算</w:t>
      </w:r>
      <w:bookmarkEnd w:id="320"/>
      <w:r>
        <w:rPr>
          <w:rFonts w:hint="eastAsia" w:ascii="宋体" w:hAnsi="宋体" w:eastAsia="宋体" w:cs="宋体"/>
          <w:kern w:val="2"/>
          <w:sz w:val="24"/>
          <w:szCs w:val="24"/>
        </w:rPr>
        <w:t>（完工结算）</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17.5.1竣工（完工）付款申请单</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（2）监理人对完工付款申请单有异议的，有权要求承包人进行修正和提供补充资料。经监理人和承包人协商后，由承包人向监理人提交修正后的完工付款申请单。</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17.5.2竣工（完工）付款证书及支付时间</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（2）发包人应在监理人出具完工付款证书后的14天内，将应支付款支付给承包人。发包人不按期支付的，按第17.3.3（2）目的约定，将逾期付款违约金支付给承包人。</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（3）承包人对发包人签认的完工付款证书有异议的，发包人可出具完工付款申请单中承包人已同意部分的临时付款证书。存在争议的部分，按第24条的约定办理。</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（４）完工付款涉及政府投资资金的，按第17.3.3（4）目的约定办理。</w:t>
      </w:r>
    </w:p>
    <w:p>
      <w:pPr>
        <w:pStyle w:val="72"/>
        <w:spacing w:line="360" w:lineRule="auto"/>
        <w:rPr>
          <w:rFonts w:ascii="宋体" w:hAnsi="宋体" w:eastAsia="宋体" w:cs="宋体"/>
          <w:kern w:val="2"/>
          <w:sz w:val="24"/>
          <w:szCs w:val="24"/>
        </w:rPr>
      </w:pPr>
      <w:bookmarkStart w:id="321" w:name="_Toc221951017"/>
      <w:r>
        <w:rPr>
          <w:rFonts w:hint="eastAsia" w:ascii="宋体" w:hAnsi="宋体" w:eastAsia="宋体" w:cs="宋体"/>
          <w:kern w:val="2"/>
          <w:sz w:val="24"/>
          <w:szCs w:val="24"/>
        </w:rPr>
        <w:t>17.6最终结清</w:t>
      </w:r>
      <w:bookmarkEnd w:id="321"/>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17.6.1最终结清申请单</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（1）工程质量保修责任终止证书签发后，承包人应按监理人批准的格式提交最终结清申请单。提交最终结清申请单的份数在专用合同条款中约定。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（2）发包人对最终结清申请单内容有异议的，有权要求承包人进行修正和提供补充资料，由承包人向监理人提交修正后的最终结清申请单。</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17.6.2最终结清证书和支付时间</w:t>
      </w:r>
    </w:p>
    <w:p>
      <w:pPr>
        <w:pStyle w:val="67"/>
        <w:spacing w:line="360" w:lineRule="auto"/>
        <w:ind w:firstLine="525" w:firstLineChars="250"/>
        <w:rPr>
          <w:rFonts w:ascii="宋体" w:hAnsi="宋体" w:eastAsia="宋体" w:cs="宋体"/>
          <w:kern w:val="2"/>
          <w:sz w:val="21"/>
          <w:szCs w:val="21"/>
        </w:rPr>
      </w:pPr>
      <w:r>
        <w:rPr>
          <w:rFonts w:hint="eastAsia" w:ascii="宋体" w:hAnsi="宋体" w:eastAsia="宋体" w:cs="宋体"/>
          <w:kern w:val="2"/>
          <w:sz w:val="21"/>
          <w:szCs w:val="21"/>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pPr>
        <w:pStyle w:val="67"/>
        <w:spacing w:line="360" w:lineRule="auto"/>
        <w:ind w:firstLine="525" w:firstLineChars="250"/>
        <w:rPr>
          <w:rFonts w:ascii="宋体" w:hAnsi="宋体" w:eastAsia="宋体" w:cs="宋体"/>
          <w:kern w:val="2"/>
          <w:sz w:val="21"/>
          <w:szCs w:val="21"/>
        </w:rPr>
      </w:pPr>
      <w:r>
        <w:rPr>
          <w:rFonts w:hint="eastAsia" w:ascii="宋体" w:hAnsi="宋体" w:eastAsia="宋体" w:cs="宋体"/>
          <w:kern w:val="2"/>
          <w:sz w:val="21"/>
          <w:szCs w:val="21"/>
        </w:rPr>
        <w:t>(2）发包人应在监理人出具最终结清证书后的14天内，将应支付款支付给承包人。发包人不按期支付的，按第17.3.3(2）目的约定，将逾期付款违约金支付给承包人。</w:t>
      </w:r>
    </w:p>
    <w:p>
      <w:pPr>
        <w:pStyle w:val="67"/>
        <w:spacing w:line="360" w:lineRule="auto"/>
        <w:ind w:firstLine="525" w:firstLineChars="250"/>
        <w:rPr>
          <w:rFonts w:ascii="宋体" w:hAnsi="宋体" w:eastAsia="宋体" w:cs="宋体"/>
          <w:kern w:val="2"/>
          <w:sz w:val="21"/>
          <w:szCs w:val="21"/>
        </w:rPr>
      </w:pPr>
      <w:r>
        <w:rPr>
          <w:rFonts w:hint="eastAsia" w:ascii="宋体" w:hAnsi="宋体" w:eastAsia="宋体" w:cs="宋体"/>
          <w:kern w:val="2"/>
          <w:sz w:val="21"/>
          <w:szCs w:val="21"/>
        </w:rPr>
        <w:t>(3）承包人对发包人签认的最终结清证书有异议的，按第24条的约定办理。</w:t>
      </w:r>
    </w:p>
    <w:p>
      <w:pPr>
        <w:pStyle w:val="67"/>
        <w:spacing w:line="360" w:lineRule="auto"/>
        <w:ind w:firstLine="525" w:firstLineChars="250"/>
        <w:rPr>
          <w:rFonts w:ascii="宋体" w:hAnsi="宋体" w:eastAsia="宋体" w:cs="宋体"/>
          <w:kern w:val="2"/>
          <w:sz w:val="21"/>
          <w:szCs w:val="21"/>
        </w:rPr>
      </w:pPr>
      <w:r>
        <w:rPr>
          <w:rFonts w:hint="eastAsia" w:ascii="宋体" w:hAnsi="宋体" w:eastAsia="宋体" w:cs="宋体"/>
          <w:kern w:val="2"/>
          <w:sz w:val="21"/>
          <w:szCs w:val="21"/>
        </w:rPr>
        <w:t>(4）最终结清付款涉及政府投资资金的，按第17.3.3(4）目的约定办理。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17.7竣工财务决算</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发包人负责编制本工程项目竣工财务决算，承包人应按专用合同条款的约定提供竣工财务决算编制所需的相关材料。</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17.8竣工审计</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发包人负责完成本工程竣工审计手续，承包人应完成相关配合工作。</w:t>
      </w:r>
    </w:p>
    <w:p>
      <w:pPr>
        <w:pStyle w:val="72"/>
        <w:spacing w:line="360" w:lineRule="auto"/>
        <w:rPr>
          <w:rFonts w:ascii="宋体" w:hAnsi="宋体" w:eastAsia="宋体" w:cs="宋体"/>
          <w:kern w:val="2"/>
        </w:rPr>
      </w:pPr>
      <w:bookmarkStart w:id="322" w:name="_Toc222029519"/>
      <w:bookmarkStart w:id="323" w:name="_Toc222031021"/>
      <w:bookmarkStart w:id="324" w:name="_Toc221951019"/>
      <w:bookmarkStart w:id="325" w:name="_Toc229305379"/>
      <w:bookmarkStart w:id="326" w:name="_Toc222033870"/>
      <w:bookmarkStart w:id="327" w:name="_Toc222032688"/>
      <w:r>
        <w:rPr>
          <w:rFonts w:hint="eastAsia" w:ascii="宋体" w:hAnsi="宋体" w:eastAsia="宋体" w:cs="宋体"/>
          <w:kern w:val="2"/>
        </w:rPr>
        <w:t>18.竣工验收</w:t>
      </w:r>
      <w:bookmarkEnd w:id="322"/>
      <w:bookmarkEnd w:id="323"/>
      <w:bookmarkEnd w:id="324"/>
      <w:bookmarkEnd w:id="325"/>
      <w:bookmarkEnd w:id="326"/>
      <w:bookmarkEnd w:id="327"/>
      <w:r>
        <w:rPr>
          <w:rFonts w:hint="eastAsia" w:ascii="宋体" w:hAnsi="宋体" w:eastAsia="宋体" w:cs="宋体"/>
          <w:kern w:val="2"/>
        </w:rPr>
        <w:t>（验收）</w:t>
      </w:r>
    </w:p>
    <w:p>
      <w:pPr>
        <w:pStyle w:val="72"/>
        <w:spacing w:line="360" w:lineRule="auto"/>
        <w:rPr>
          <w:rFonts w:ascii="宋体" w:hAnsi="宋体" w:eastAsia="宋体" w:cs="宋体"/>
          <w:kern w:val="2"/>
          <w:sz w:val="24"/>
          <w:szCs w:val="24"/>
        </w:rPr>
      </w:pPr>
      <w:bookmarkStart w:id="328" w:name="_Toc229305380"/>
      <w:bookmarkStart w:id="329" w:name="_Toc222029520"/>
      <w:bookmarkStart w:id="330" w:name="_Toc222032689"/>
      <w:bookmarkStart w:id="331" w:name="_Toc222031022"/>
      <w:bookmarkStart w:id="332" w:name="_Toc222033871"/>
      <w:bookmarkStart w:id="333" w:name="_Toc221951044"/>
      <w:r>
        <w:rPr>
          <w:rFonts w:hint="eastAsia" w:ascii="宋体" w:hAnsi="宋体" w:eastAsia="宋体" w:cs="宋体"/>
          <w:kern w:val="2"/>
          <w:sz w:val="24"/>
          <w:szCs w:val="24"/>
        </w:rPr>
        <w:t>18.1验收工作分类</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18.2分部工程验收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18.2.1分部工程具备验收条件时，承包人应向发包人提交验收申请报告，发包人应在收到验收申请报告之日起10个工作日内决定是否同意进行验收。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18.2.2除专用合同条款另有约定外，监理人主持分部工程验收，承包人应派符合条件的代表参加验收工作组。</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18.2.3分部工程验收通过后，发包人向承包人发送分部工程验收鉴定书。承包人应及时完成分部工程验收鉴定书载明应由承包人处理的遗留问题。</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18.3单位工程验收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18.3.1单位工程具备验收条件时，承包人应向发包人提交验收申请报告，发包人应在收到验收申请报告之日起10个工作日内决定是否同意进行验收。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18.3.2发包人主持单位工程验收，承包人应派符合条件的代表参加验收工作组。</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18.3.3单位工程验收通过后，发包人向承包人发送单位工程验收鉴定书。承包人应及时完成单位工程验收鉴定书载明应由承包人处理的遗留问题。</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18.3.4需提前投入使用的单位工程在专用合同条款中明确。</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18.4合同工程完工验收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18.4.1合同工程具备验收条件时，承包人应向发包人提交验收申请报告，发包人应在收到验收申请报告之日起20个工作日内决定是否同意进行验收。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18.4.2发包人主持合同工程完工验收，承包人应派代表参加验收工作组。</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18.4.3合同工程完工验收通过后，发包人向承包人发送合同工程完工验收鉴定书。承包人应及时完成合同工程完工验收鉴定书载明应由承包人处理的遗留问题。</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18.5阶段验收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18.5.1工程建设具备阶段验收条件时，发包人负责提出阶段验收申请报告。承包人应派代表参加阶段验收，并作为被验收单位在验收鉴定书上签字。阶段验收的具体类别在专用合同条款中约定。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18.5.2承包人应及时完成阶段验收鉴定书载明应由承包人处理的遗留问题。</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18.6专项验收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18.6.1发包人负责提出专项验收申请报告。承包人应按专项验收的相关规定参加专项验收。专项验收的具体类别在专用合同条款中约定。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18.6.2承包人应及时完成专项验收成果性文件载明应由承包人处理的遗留问题。</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18.7竣工验收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18.7.1申请竣工验收前，发包人组织竣工验收自查，承包人应派代表参加。</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18.7.2竣工验收分为竣工技术预验收和竣工验收两个阶段。发包人应通知承包人派代表参加技术预验收和竣工验收。</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18.7.3专用合同条款约定工程需要进行技术鉴定的，承包人应提交有关资料并完成配合工作。</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18.7.4竣工验收需要进行质量检测的，所需费用由发包人承担，但因承包人原因造成质量不合格的除外。</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18.7.5工程质量保修期满以及竣工验收遗留问题和尾工处理完成并通过验收后，发包人负责将处理情况和验收成果报送竣工验收主持单位，申请领取工程竣工证书，并发送承包人。</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18.8施工期运行</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18.8.1施工期运行是指合同工程尚未全部完工，其中某单位工程或部分工程已完工，需要投入施工期运行的，经发包人按第18.2款或第18.款的3约定验收合格，证明能确保安全后，才能在施工期投入运行。需要在施工期运行的单位工程或部分工程在专用合同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18.8.2在施工期运行中发现工程或工程设备损坏或存在缺陷的，由承包人按第19.2款约定进行修复。</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18.9试运行</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18.9.1除专用合同条款另有约定外，承包人应按规定进行工程及工程设备试运行，负责提供试运行所需的人员、器材和必要的条件，并承担全部试运行费用。</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18.10竣工（完工）清场</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18.10.1工程项目竣工（完工）清场的工作范围和内容在技术标准和要求（合同技术条款）中约定。</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18.10.2承包人未按监理人的要求恢复临时占地，或者场地清理未达到合同约定的，发包人有权委托其它人恢复或清理，所发生的金额从拟支付给承包人的款项中扣除。</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18.11施工队伍的撤离</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72"/>
        <w:spacing w:line="360" w:lineRule="auto"/>
        <w:rPr>
          <w:rFonts w:ascii="宋体" w:hAnsi="宋体" w:eastAsia="宋体" w:cs="宋体"/>
          <w:kern w:val="2"/>
        </w:rPr>
      </w:pPr>
      <w:r>
        <w:rPr>
          <w:rFonts w:hint="eastAsia" w:ascii="宋体" w:hAnsi="宋体" w:eastAsia="宋体" w:cs="宋体"/>
          <w:kern w:val="2"/>
        </w:rPr>
        <w:t>19.缺陷责任与保修责任</w:t>
      </w:r>
      <w:bookmarkEnd w:id="328"/>
      <w:bookmarkEnd w:id="329"/>
      <w:bookmarkEnd w:id="330"/>
      <w:bookmarkEnd w:id="331"/>
      <w:bookmarkEnd w:id="332"/>
      <w:bookmarkEnd w:id="333"/>
    </w:p>
    <w:p>
      <w:pPr>
        <w:pStyle w:val="72"/>
        <w:spacing w:line="360" w:lineRule="auto"/>
        <w:rPr>
          <w:rFonts w:ascii="宋体" w:hAnsi="宋体" w:eastAsia="宋体" w:cs="宋体"/>
          <w:kern w:val="2"/>
          <w:sz w:val="24"/>
          <w:szCs w:val="24"/>
        </w:rPr>
      </w:pPr>
      <w:bookmarkStart w:id="334" w:name="_Toc222031023"/>
      <w:bookmarkStart w:id="335" w:name="_Toc222032690"/>
      <w:bookmarkStart w:id="336" w:name="_Toc222029521"/>
      <w:bookmarkStart w:id="337" w:name="_Toc222033872"/>
      <w:bookmarkStart w:id="338" w:name="_Toc221951060"/>
      <w:bookmarkStart w:id="339" w:name="_Toc229305381"/>
      <w:r>
        <w:rPr>
          <w:rFonts w:hint="eastAsia" w:ascii="宋体" w:hAnsi="宋体" w:eastAsia="宋体" w:cs="宋体"/>
          <w:kern w:val="2"/>
          <w:sz w:val="24"/>
          <w:szCs w:val="24"/>
        </w:rPr>
        <w:t>19.1缺陷责任期（工程质量保修期）的起算时间</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19.2缺陷责任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19.2.1承包人应在缺陷责任期内对己交付使用的工程承担缺陷责任。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19.2.2缺陷责任期内，发包人对己接收使用的工程负责日常维护工作。发包人在使用过程中，发现己接收的工程存在新的缺陷或已修复的缺陷部位或部件又遭损坏的，承包人应负责修复，直至检验合格为止。</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19.2.3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19.2.4承包人不能在合理时间内修复缺陷的，发包人可自行修复或委托其他人修复，所需费用和利润的承担，按第19.2.3项约定办理。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19.3缺陷责任期的延长</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由于承包人原因造成某项缺陷或损坏使某项工程或工程设备不能按原．定目标使用而需要再次检查、检验和修复的，发包人有权要求承包人相应延长缺陷责任期，但缺陷责任期最长不超过2年。</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19.4进一步试验和试运行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任何一项缺陷或损坏修复后，经检查证明其影响了工程或工程设备的使用性能，承包人应重新进行合同约定的试验和试运行，试验和试运行的全部费用应由责任方承担。</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19.5承包人的进入权</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缺陷责任期内承包人为缺陷修复工作需要，有权进入工程现场，但应遵守发包人的保安和保密规定。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19.6缺陷责任期终止证书（工程质量保修责任终止证书）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合同工程完工验收或投入使用验收后，发包人与承包人应办理工程交接手续，承包人应向发包人递交工程质量保修书。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缺陷责任期（工程质量保修期）满后30个工作日内，发包人应向承包人颁发工程质量保修责任终止证书，并退还剩余的质量保证金，但保修责任范围内的质量缺陷未处理完成的应除外。</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19.7保修责任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bookmarkEnd w:id="334"/>
    <w:bookmarkEnd w:id="335"/>
    <w:bookmarkEnd w:id="336"/>
    <w:bookmarkEnd w:id="337"/>
    <w:bookmarkEnd w:id="338"/>
    <w:bookmarkEnd w:id="339"/>
    <w:p>
      <w:pPr>
        <w:pStyle w:val="72"/>
        <w:spacing w:line="360" w:lineRule="auto"/>
        <w:rPr>
          <w:rFonts w:ascii="宋体" w:hAnsi="宋体" w:eastAsia="宋体" w:cs="宋体"/>
          <w:kern w:val="2"/>
        </w:rPr>
      </w:pPr>
      <w:r>
        <w:rPr>
          <w:rFonts w:hint="eastAsia" w:ascii="宋体" w:hAnsi="宋体" w:eastAsia="宋体" w:cs="宋体"/>
          <w:kern w:val="2"/>
        </w:rPr>
        <w:t>20保险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20.1工程保险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20.2人员工伤事故的保险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20.2.1承包人员工伤事故的保险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承包人应依照有关法律规定参加工伤保险，为其履行合同所雇佣的全部人员，缴纳工伤保险费，并要求其分包人也进行此项保险。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20.2.2发包人员工伤事故的保险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发包人应依照有关法律规定参加工伤保险，为其现场机构雇佣的全部人员，缴纳工伤保险费，并要求其监理人也进行此项保险。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20.3人身意外伤害险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20.3.1发包人应在整个施工期间为其现场机构雇用的全部人员，投保人身意外伤害险，缴纳保险费，并要求其监理人也进行此项保险。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20.3.2承包人应在整个施工期间为其现场机构雇用的全部人员，投保人身意外伤害险，缴纳保险费，并要求其分包人也进行此项保险。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20.4第三者责任险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20.4.2在缺陷责任期终止证书颁发前，承包人应以承包人和发包人的共同名义，投保第20.4.1项约定的第三者责任险，其保险费率、保险金额等有关内容在专用合同条款中约定。</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20.5其他保险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除专用合同条款另有约定外，承包人应为其施工设备、进场的材料和工程设备等办理保险。</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20.6对各项保险的一般要求</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20.6.1保险凭证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承包人应在专用合同条款约定的期限内向发包人提交各项保险生效的证据和保险单副本，保险单必须与专用合同条款约定的条件保持一致。</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20.6.2保险合同条款的变动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承包人需要变动保险合同条款时，应事先征得发包人同意，并通知监理人。保险人作出变动的，承包人应在收到保险人通知后立即通知发包人和监理人。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20.6.3持续保险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承包人应与保险人保持联系，使保险人能够随时了解工程实施中的变动，并确保按保险合同条款要求持续保险。</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20.6.4保险金不足以补偿损失时，应由承包人和发包人各自负责补偿的范围和金额在专用合同条款中约定。</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20.6.5未按约定投保的补救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(l）由于负有投保义务的一方当事人未按合同约定办理保险，或未能使保险持续有效的，另一方当事人可代为办理，所需费用由对方当事人承担。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(2）由于负有投保义务的一方当事人未按合同约定办理某项保险，导致受益人未能得到保险人的赔偿，原应从该项保险得到的保险金应由负有投保义务的一方当事人支付。</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20.6.6报告义务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当保险事故发生时，投保人应按照保险单规定的条件和期限及时向保险人报告。</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20.7风险责任的转移</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工程通过合同工程完工验收并移交给发包人后，原由承包人应承担的风险责任，以及保险的责任、权利和义务同时转移给发包人，但承包人在缺陷责任期（工程质量保修期）前造成损失和损坏情形除外。</w:t>
      </w:r>
    </w:p>
    <w:p>
      <w:pPr>
        <w:pStyle w:val="72"/>
        <w:spacing w:line="360" w:lineRule="auto"/>
        <w:rPr>
          <w:rFonts w:ascii="宋体" w:hAnsi="宋体" w:eastAsia="宋体" w:cs="宋体"/>
          <w:kern w:val="2"/>
        </w:rPr>
      </w:pPr>
      <w:r>
        <w:rPr>
          <w:rFonts w:hint="eastAsia" w:ascii="宋体" w:hAnsi="宋体" w:eastAsia="宋体" w:cs="宋体"/>
          <w:kern w:val="2"/>
        </w:rPr>
        <w:t>21不可抗力</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21.1不可抗力的确认</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21.1.1不可抗力是指承包人和发包人在订立合同时不可预见，在工程施工过程中不可避免发生并不能克服的自然灾害和社会性突发事件，如地震、海啸、瘟疫、水灾、骚乱、暴动、战争和专用合同条款约定的其他情形。</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21.2不可抗力的通知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21.2.1合同一方当事人遇到不可抗力事件，使其履行合同义务受到阻碍时，应立即通知合同另一方当事人和监理人，书面说明不可抗力和受阻碍的详细情况，并提供必要的证明。</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21.2.2如不可抗力持续发生，合同一方当事人应及时向合同另一方当事人和监理人提交中间报告，说明不可抗力和履行合同受阻的情况，并于不可抗力事件结束后28天内提交最终报告及有关资料。</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21.3不可抗力后果及其处理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21.3.1不可抗力造成损害的责任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除专用合同条款另有约定外，不可抗力导致的人员伤亡、财产损失、费用增加和（或）工期延误等后果，由合同双方按以下原则承担：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(1）永久工程，包括己运至施工场地的材料和工程设备的损害，以及因工程损害造成的第三者人员伤亡和财产损失由发包人承担；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(2）承包人设备的损坏由承包人承担；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(3）发包人和承包人各自承担其人员伤亡和其他财产损失及其相关费用；</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(4）承包人的停工损失由承包人承担，但停工期间应监理人要求照管工程和清理、修复工程的金额由发包人承担；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(5）不能按期竣工的，应合理延长工期，承包人不需支付逾期竣工违约金。发包人要求赶工的，承包人应采取赶工措施，赶工费用由发包人承担。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21.3.2延迟履行期间发生的不可抗力</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合同一方当事人延迟履行，在延迟履行期间发生不可抗力的，不免除其责任。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21.3.3避免和减少不可抗力损失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不可抗力发生后，发包人和承包人均应采取措施尽量避免和减少损失的扩大，任何一方没有采取有效措施导致损失扩大的，应对扩大的损失承担责任。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21.3.4因不可抗力解除合同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67"/>
        <w:spacing w:line="360" w:lineRule="auto"/>
        <w:ind w:right="248" w:firstLine="480"/>
        <w:rPr>
          <w:rFonts w:ascii="宋体" w:hAnsi="宋体" w:eastAsia="宋体" w:cs="宋体"/>
          <w:kern w:val="2"/>
          <w:sz w:val="21"/>
          <w:szCs w:val="21"/>
        </w:rPr>
      </w:pPr>
    </w:p>
    <w:p>
      <w:pPr>
        <w:pStyle w:val="72"/>
        <w:spacing w:line="360" w:lineRule="auto"/>
        <w:rPr>
          <w:rFonts w:ascii="宋体" w:hAnsi="宋体" w:eastAsia="宋体" w:cs="宋体"/>
          <w:kern w:val="2"/>
        </w:rPr>
      </w:pPr>
      <w:r>
        <w:rPr>
          <w:rFonts w:hint="eastAsia" w:ascii="宋体" w:hAnsi="宋体" w:eastAsia="宋体" w:cs="宋体"/>
          <w:kern w:val="2"/>
        </w:rPr>
        <w:t>22违约</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22.1承包人违约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22.1.1承包人违约的情形</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在履行合同过程中发生的下列情况属承包人违约：</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（1）承包人违反第1.8款或第4.3款的约定，私自将合同的全部或部分权利转让给其他人，或私自将合同的全部或部分义务转移给其他人；</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（2）承包人违反第5.3款或第6.4款的约定，未经监理人批准，私自将已按合同约定进入施工场地的施工设备、临时设施或材料撤离施工场地；</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（3）承包人违反第5.4款的约定使用了不合格材料或工程设备，工程质量达不到标准要求，又拒绝清除不合格工程；</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（4）承包人未能按合同进度计划及时完成合同约定的工作，已造成或预期造成工期延误；</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（5）承包人在缺陷责任期（工程质量保修期）内，未能对合同工程完工验收鉴定书所列的缺陷清单的内容或缺陷责任期（工程质量保修期）内发生的缺陷进行修复，而又拒绝按监理人指示再进行修补；</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（6）承包人无法继续履行或明确表示不履行或实质上已停止履行合同；</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（7）承包人不按合同约定履行义务的其它情况。</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22.1.2对承包人违约的处理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(l）承包人发生第22.1.1(6）目约定的违约情况时，发包人可通知承包人立即解除合同，并按有关法律处理。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(2）承包人发生除第22.1.1(6）目约定以外的其他违约情况时，监理人可向承包人发出整改通知，要求其在指定的期限内改正。承包人应承担其违约所引起的费用增加和（或）工期延误。</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(3）经检查证明承包人已采取了有效措施纠正违约行为，具备复工条件的，可由监理人签发复工通知复工。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22.1.3承包人违约解除合同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22.1.4合同解除后的估价、付款和结清</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(1）合同解除后，监理人按第3.5款商定或确定承包人实际完成工作的价值，以及承包人己提供的材料、施工设备、工程设备和临时工程等的价值。</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(2）合同解除后，发包人应暂停对承包人的一切付款，查清各项付款和己扣款金额，包括承包人应支付的违约金。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(3）合同解除后，发包人应按第23.4款的约定向承包人索赔由于解除合同给发包人造成的损失。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(4）合同双方确认上述往来款项后，出具最终结清付款证书，结清全部合同款项。</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(5）发包人和承包人未能就解除合同后的结清达成一致而形成争议的，按第24条的约定办理。</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22.1.5协议利益的转让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因承包人违约解除合同的，发包人有权要求承包人将其为实施合同而签订的材料和设备的订货协议或任何服务协议利益转让给发包人，并在解除合同后的14天内，依法办理转让手续。</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22.1.6紧急情况下无能力或不愿进行抢救</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22.2发包人违约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22.2.1发包人违约的情形</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在履行合同过程中发生的下列情形，属发包人违约：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(l）发包人未能按合同约定支付预付款或合同价款，或拖延、拒绝批准付款申请和支付凭证，导致付款延误的；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(2）发包人原因造成停工的；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(3）监理人无正当理由没有在约定期限内发出复工指示，导致承包人无法复工的；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(4）发包人无法继续履行或明确表示不履行或实质上已停止履行合同的；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(5）发包人不履行合同约定其他义务的。</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22.2.2承包人有权暂停施工</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22.2.3发包人违约解除合同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(1）发生第22.2.1(4）目的违约情况时，承包人可书面通知发包人解除合同。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(2）承包人按22.2.2项暂停施工28天后，发包人仍不纠正违约行为的，承包人可向发包人发出解除合同通知。但承包人的这一行动不免除发包人承担的违约责任，也不影响承包人根据合同约定享有的索赔权利。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22.2.4解除合同后的付款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因发包人违约解除合同的，发包人应在解除合同后28天内向承包人支付下列金额，承包人应在此期限内及时向发包人提交要求支付下列金额的有关资料和凭证：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(l）合同解除日以前所完成工作的价款；</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(2）承包人为该工程施工订购并己付款的材料、工程设备和其他物品的金额。发包人付还后，该材料、工程设备和其他物品归发包人所有；</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(3）承包人为完成工程所发生的，而发包人未支付的金额；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(4）承包人撤离施工场地以及遣散承包人人员的金额；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(5）由于解除合同应赔偿的承包人损失；</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(6）按合同约定在合同解除日前应支付给承包人的其他金额。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发包人应按本项约定支付上述金额并退还质量保证金和履约担保，但有权要求承包人支付应偿还给发包人的各项金额。</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22.2.5解除合同后的承包人撤离</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因发包人违约而解除合同后，承包人应妥善做好已竣工工程和己购材料、设备的保护和移交工作，按发包人要求将承包人设备和人员撤出施工场地。承包人撤出施工场地应遵守第</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18.7.1项的约定，发包人应为承包人撤出提供必要条件。</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22.3第三人造成的违约</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在履行合同过程中，一方当事人因第三人的原因造成违约的，应当向对方当事人承担违约责任。一方当事人和第三人之间的纠纷，依照法律规定或者按照约定解决。</w:t>
      </w:r>
    </w:p>
    <w:p>
      <w:pPr>
        <w:pStyle w:val="67"/>
        <w:spacing w:line="360" w:lineRule="auto"/>
        <w:ind w:right="248" w:firstLine="480"/>
        <w:rPr>
          <w:rFonts w:ascii="宋体" w:hAnsi="宋体" w:eastAsia="宋体" w:cs="宋体"/>
          <w:kern w:val="2"/>
          <w:sz w:val="21"/>
          <w:szCs w:val="21"/>
        </w:rPr>
      </w:pPr>
    </w:p>
    <w:p>
      <w:pPr>
        <w:pStyle w:val="72"/>
        <w:spacing w:line="360" w:lineRule="auto"/>
        <w:rPr>
          <w:rFonts w:ascii="宋体" w:hAnsi="宋体" w:eastAsia="宋体" w:cs="宋体"/>
          <w:kern w:val="2"/>
        </w:rPr>
      </w:pPr>
      <w:r>
        <w:rPr>
          <w:rFonts w:hint="eastAsia" w:ascii="宋体" w:hAnsi="宋体" w:eastAsia="宋体" w:cs="宋体"/>
          <w:kern w:val="2"/>
        </w:rPr>
        <w:t>23索赔</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23.1承包人索赔的提出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根据合同约定，承包人认为有权得到追加付款和（或）延长工期的，应按以下程序向发包人提出索赔：</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(l）承包人应在知道或应当知道索赔事件发生后28天内，向监理人递交索赔意向通知书，并说明发生索赔事件的事由。承包人未在前述28天内发出索赔意向通知书的，丧失要求追加付款和（或）延长工期的权利：</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(2）承包人应在发出索赔意向通知书后28天内，向监理人正式递交索赔通知书。索赔通知书应详细说明索赔理由以及要求追加的付款金额和（或）延长的工期，并附必要的记录和证明材料；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(3）索赔事件具有连续影响的，承包人应按合理时间间隔继续递交延续索赔通知，说明连续影响的实际情况和记录，列出累计的追加付款金额和（或）工期延长天数；</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(4）在索赔事件影响结束后的28天内，承包人应向监理人递交最终索赔通知书，说明最终要求索赔的追加付款金额和延长的工期，并附必要的记录和证明材料。</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23.2承包人索赔处理程序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(1）监理人收到承包人提交的索赔通知书后，应及时审查索赔通知书的内容、杳验承包人的记录和证明材料，必要时监理人可要求承包人提交全部原始记录副本。</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(2）监理人应按第3.5款商定或确定追加的付款和（或）延长的工期，并在收到上述索赔通知书或有关索赔的进一步证明材料后的42天内，将索赔处理结果答复承包人。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(3）承包人接受索赔处理结果的，发包人应在作出索赔处理结果答复后28天内完成赔付。承包人不接受索赔处理结果的，按第24条的约定办理。</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23.3承包人提出索赔的期限</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23.3.1承包人按第17.5款的约定接受了完工付款证书后，应被认为已无权再提出在合同工程完工证书颁发前所发生的任何索赔。</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23.3.2承包人按第17.6款的约定提交的最终结清申请单中，只限于提出合同工程完工证书颁发后发生的索赔。提出索赔的期限自接受最终结清证书时终止。</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23.4发包人的索赔</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23.4.1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23.4.2监理人按第3.5款商定或确定发包人从承包人处得到赔付的金额和（或）缺陷责任期的延长期。承包人应付给发包人的金额可从拟支付给承包人的合同价款中扣除，或由承包人以其他方式支付给发包人。</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23.4.3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Style w:val="72"/>
        <w:spacing w:line="360" w:lineRule="auto"/>
        <w:rPr>
          <w:rFonts w:ascii="宋体" w:hAnsi="宋体" w:eastAsia="宋体" w:cs="宋体"/>
          <w:kern w:val="2"/>
        </w:rPr>
      </w:pPr>
      <w:r>
        <w:rPr>
          <w:rFonts w:hint="eastAsia" w:ascii="宋体" w:hAnsi="宋体" w:eastAsia="宋体" w:cs="宋体"/>
          <w:kern w:val="2"/>
        </w:rPr>
        <w:t>24争议的解决</w:t>
      </w:r>
    </w:p>
    <w:p>
      <w:pPr>
        <w:pStyle w:val="72"/>
        <w:spacing w:line="360" w:lineRule="auto"/>
        <w:rPr>
          <w:rFonts w:ascii="宋体" w:hAnsi="宋体" w:eastAsia="宋体" w:cs="宋体"/>
          <w:kern w:val="2"/>
          <w:sz w:val="24"/>
          <w:szCs w:val="24"/>
        </w:rPr>
      </w:pPr>
      <w:r>
        <w:rPr>
          <w:rFonts w:hint="eastAsia" w:ascii="宋体" w:hAnsi="宋体" w:eastAsia="宋体" w:cs="宋体"/>
          <w:kern w:val="2"/>
          <w:sz w:val="24"/>
          <w:szCs w:val="24"/>
        </w:rPr>
        <w:t>24.1争议的解决方式</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(l）向约定的仲裁委员会申请仲裁；</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(2）向有管辖权的人民法院提起诉讼。</w:t>
      </w:r>
    </w:p>
    <w:p>
      <w:pPr>
        <w:pStyle w:val="72"/>
        <w:spacing w:line="240" w:lineRule="auto"/>
        <w:rPr>
          <w:rFonts w:ascii="宋体" w:hAnsi="宋体" w:eastAsia="宋体" w:cs="宋体"/>
          <w:kern w:val="2"/>
          <w:sz w:val="24"/>
          <w:szCs w:val="24"/>
        </w:rPr>
      </w:pPr>
      <w:r>
        <w:rPr>
          <w:rFonts w:hint="eastAsia" w:ascii="宋体" w:hAnsi="宋体" w:eastAsia="宋体" w:cs="宋体"/>
          <w:kern w:val="2"/>
          <w:sz w:val="24"/>
          <w:szCs w:val="24"/>
        </w:rPr>
        <w:t>24.2友好解决</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在提请争议评审、仲裁或者诉讼前，以及在争议评审、仲裁或诉讼过程中，发包人和承包人均可共同努力友好协商解决争议。</w:t>
      </w:r>
    </w:p>
    <w:p>
      <w:pPr>
        <w:pStyle w:val="72"/>
        <w:spacing w:line="240" w:lineRule="auto"/>
        <w:rPr>
          <w:rFonts w:ascii="宋体" w:hAnsi="宋体" w:eastAsia="宋体" w:cs="宋体"/>
          <w:kern w:val="2"/>
          <w:sz w:val="24"/>
          <w:szCs w:val="24"/>
        </w:rPr>
      </w:pPr>
      <w:r>
        <w:rPr>
          <w:rFonts w:hint="eastAsia" w:ascii="宋体" w:hAnsi="宋体" w:eastAsia="宋体" w:cs="宋体"/>
          <w:kern w:val="2"/>
          <w:sz w:val="24"/>
          <w:szCs w:val="24"/>
        </w:rPr>
        <w:t>24.3争议评审</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24.3.1采用争议评审的，发包人和承包人应在开工日后的28天内或在争议发生后，协商成立争议评审组。争议评审组由有合同管理和工程实践经验的专家组成。</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24.3.2合同双方的争议，应首先由申请人向争议评审组提交一份详细的评审申请报告，并附必要的文件、图纸和证明材料，申请人还应将上述报告的副本同时提交给被申请人和监理人。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24.3.3被申请人在收到申请人评审申请报告副本后的28天内，向争议评审组提交一份答辩报告，并附证明材料。被申请人应将答辩报告的副本同时提交给申请人和监理人。</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24.3.4除专用合同条款另有约定外，争议评审组在收到合同双方报告后的14天内，邀请双方代表和有关人员举行调查会，向双方调查争议细节；必要时争议评审组可要求双方进一步提供补充材料。</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24.3.6发包人和承包人接受评审意见的，由监理人根据评审意见拟定执行协议，经争议双方签字后作为合同的补充文件，并遵照执行。</w:t>
      </w:r>
    </w:p>
    <w:p>
      <w:pPr>
        <w:pStyle w:val="67"/>
        <w:spacing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24.3.7发包人或承包人不接受评审意见，并要求提交仲裁或提起诉讼的，应在收到评审意见后的14天内将仲裁或起诉意向书面通知另一方，并抄送监理人，但在仲裁或诉讼结束前应暂按总监理工程师的确定执行。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72"/>
        <w:spacing w:line="240" w:lineRule="auto"/>
        <w:rPr>
          <w:rFonts w:ascii="宋体" w:hAnsi="宋体" w:eastAsia="宋体" w:cs="宋体"/>
          <w:kern w:val="2"/>
          <w:sz w:val="24"/>
          <w:szCs w:val="24"/>
        </w:rPr>
      </w:pPr>
      <w:r>
        <w:rPr>
          <w:rFonts w:hint="eastAsia" w:ascii="宋体" w:hAnsi="宋体" w:eastAsia="宋体" w:cs="宋体"/>
          <w:kern w:val="2"/>
          <w:sz w:val="24"/>
          <w:szCs w:val="24"/>
        </w:rPr>
        <w:t>24.4仲裁</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24.4.1若合同双方商定直接向仲裁机构申请仲裁，应签订仲裁协议并约定仲裁机构。</w:t>
      </w:r>
    </w:p>
    <w:p>
      <w:pPr>
        <w:pStyle w:val="67"/>
        <w:spacing w:line="360" w:lineRule="auto"/>
        <w:ind w:right="248" w:firstLine="480"/>
        <w:rPr>
          <w:rFonts w:ascii="宋体" w:hAnsi="宋体" w:eastAsia="宋体" w:cs="宋体"/>
          <w:kern w:val="2"/>
          <w:sz w:val="21"/>
          <w:szCs w:val="21"/>
        </w:rPr>
      </w:pPr>
      <w:r>
        <w:rPr>
          <w:rFonts w:hint="eastAsia" w:ascii="宋体" w:hAnsi="宋体" w:eastAsia="宋体" w:cs="宋体"/>
          <w:kern w:val="2"/>
          <w:sz w:val="21"/>
          <w:szCs w:val="21"/>
        </w:rPr>
        <w:t>24.4.2若合同双方未能达成仲裁协议，则本合同的仲裁条款无效，任一方均有权向人民法院提起诉讼。</w:t>
      </w:r>
    </w:p>
    <w:p>
      <w:pPr>
        <w:pStyle w:val="70"/>
        <w:jc w:val="center"/>
        <w:rPr>
          <w:rFonts w:ascii="宋体" w:hAnsi="宋体" w:eastAsia="宋体" w:cs="宋体"/>
          <w:kern w:val="2"/>
        </w:rPr>
      </w:pPr>
      <w:bookmarkStart w:id="340" w:name="_Toc222033877"/>
      <w:bookmarkStart w:id="341" w:name="_Toc229305386"/>
      <w:bookmarkStart w:id="342" w:name="_Toc222032695"/>
      <w:bookmarkStart w:id="343" w:name="_Toc221948340"/>
      <w:bookmarkStart w:id="344" w:name="_Toc221951110"/>
      <w:bookmarkStart w:id="345" w:name="_Toc222029526"/>
      <w:bookmarkStart w:id="346" w:name="_Toc222031028"/>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67"/>
        <w:rPr>
          <w:rFonts w:ascii="宋体" w:hAnsi="宋体" w:eastAsia="宋体" w:cs="宋体"/>
          <w:kern w:val="2"/>
        </w:rPr>
      </w:pPr>
    </w:p>
    <w:p>
      <w:pPr>
        <w:pStyle w:val="70"/>
        <w:jc w:val="center"/>
        <w:rPr>
          <w:rFonts w:ascii="宋体" w:hAnsi="宋体" w:eastAsia="宋体" w:cs="宋体"/>
          <w:kern w:val="2"/>
          <w:sz w:val="30"/>
          <w:szCs w:val="30"/>
        </w:rPr>
      </w:pPr>
      <w:bookmarkStart w:id="347" w:name="_Toc256000034"/>
      <w:bookmarkStart w:id="348" w:name="_Toc145666798"/>
      <w:r>
        <w:rPr>
          <w:rFonts w:hint="eastAsia" w:ascii="宋体" w:hAnsi="宋体" w:eastAsia="宋体" w:cs="宋体"/>
          <w:kern w:val="2"/>
        </w:rPr>
        <w:t>第二节专用合同条款</w:t>
      </w:r>
      <w:bookmarkEnd w:id="340"/>
      <w:bookmarkEnd w:id="341"/>
      <w:bookmarkEnd w:id="342"/>
      <w:bookmarkEnd w:id="343"/>
      <w:bookmarkEnd w:id="344"/>
      <w:bookmarkEnd w:id="345"/>
      <w:bookmarkEnd w:id="346"/>
      <w:bookmarkEnd w:id="347"/>
      <w:bookmarkEnd w:id="348"/>
    </w:p>
    <w:p>
      <w:pPr>
        <w:pStyle w:val="3"/>
        <w:rPr>
          <w:rFonts w:hint="eastAsia" w:ascii="宋体" w:hAnsi="宋体" w:eastAsia="宋体" w:cs="宋体"/>
          <w:sz w:val="21"/>
          <w:szCs w:val="21"/>
        </w:rPr>
      </w:pPr>
      <w:bookmarkStart w:id="349" w:name="_Toc292198048"/>
      <w:bookmarkStart w:id="350" w:name="_Toc264793992"/>
      <w:bookmarkStart w:id="351" w:name="_Toc222033878"/>
      <w:bookmarkStart w:id="352" w:name="_Toc229305387"/>
      <w:bookmarkStart w:id="353" w:name="_Toc222029527"/>
      <w:bookmarkStart w:id="354" w:name="_Toc222031029"/>
      <w:bookmarkStart w:id="355" w:name="_Toc222032696"/>
      <w:bookmarkStart w:id="356" w:name="_Toc221951111"/>
      <w:bookmarkStart w:id="357" w:name="_Toc168476286"/>
      <w:bookmarkStart w:id="358" w:name="_Toc168475883"/>
      <w:bookmarkStart w:id="359" w:name="_Toc144974826"/>
      <w:r>
        <w:rPr>
          <w:rFonts w:hint="eastAsia" w:ascii="宋体" w:hAnsi="宋体" w:eastAsia="宋体" w:cs="宋体"/>
          <w:sz w:val="21"/>
          <w:szCs w:val="21"/>
        </w:rPr>
        <w:t>1. 一般约定</w:t>
      </w:r>
      <w:bookmarkEnd w:id="349"/>
    </w:p>
    <w:p>
      <w:pPr>
        <w:pStyle w:val="4"/>
        <w:rPr>
          <w:rFonts w:hint="eastAsia" w:ascii="宋体" w:hAnsi="宋体" w:cs="宋体"/>
          <w:color w:val="auto"/>
        </w:rPr>
      </w:pPr>
      <w:bookmarkStart w:id="360" w:name="_Toc292198049"/>
      <w:bookmarkStart w:id="361" w:name="_Toc221951112"/>
      <w:bookmarkStart w:id="362" w:name="_Toc447823157"/>
      <w:r>
        <w:rPr>
          <w:rFonts w:hint="eastAsia" w:ascii="宋体" w:hAnsi="宋体" w:cs="宋体"/>
          <w:color w:val="auto"/>
          <w:sz w:val="21"/>
          <w:szCs w:val="21"/>
        </w:rPr>
        <w:t>1.1</w:t>
      </w:r>
      <w:r>
        <w:rPr>
          <w:rFonts w:hint="eastAsia" w:ascii="宋体" w:hAnsi="宋体" w:cs="宋体"/>
          <w:color w:val="auto"/>
        </w:rPr>
        <w:t xml:space="preserve"> 词语定义</w:t>
      </w:r>
      <w:bookmarkEnd w:id="360"/>
      <w:bookmarkEnd w:id="361"/>
      <w:bookmarkEnd w:id="362"/>
    </w:p>
    <w:p>
      <w:pPr>
        <w:spacing w:line="440" w:lineRule="exact"/>
        <w:rPr>
          <w:rFonts w:hint="eastAsia" w:ascii="宋体" w:hAnsi="宋体" w:cs="宋体"/>
          <w:szCs w:val="21"/>
        </w:rPr>
      </w:pPr>
      <w:bookmarkStart w:id="363" w:name="_Toc221951113"/>
      <w:r>
        <w:rPr>
          <w:rFonts w:hint="eastAsia" w:ascii="宋体" w:hAnsi="宋体" w:cs="宋体"/>
          <w:szCs w:val="21"/>
        </w:rPr>
        <w:t>1.1.2 合同当事人和人员</w:t>
      </w:r>
      <w:bookmarkEnd w:id="363"/>
    </w:p>
    <w:p>
      <w:pPr>
        <w:spacing w:line="440" w:lineRule="exact"/>
        <w:rPr>
          <w:rFonts w:hint="eastAsia" w:ascii="宋体" w:hAnsi="宋体" w:eastAsia="宋体" w:cs="宋体"/>
          <w:szCs w:val="21"/>
          <w:lang w:eastAsia="zh-CN"/>
        </w:rPr>
      </w:pPr>
      <w:bookmarkStart w:id="364" w:name="_Toc221951114"/>
      <w:r>
        <w:rPr>
          <w:rFonts w:hint="eastAsia" w:ascii="宋体" w:hAnsi="宋体" w:cs="宋体"/>
          <w:szCs w:val="21"/>
        </w:rPr>
        <w:t>1.1.2.2 发包人：</w:t>
      </w:r>
      <w:bookmarkEnd w:id="364"/>
      <w:bookmarkStart w:id="365" w:name="_Toc221951115"/>
      <w:r>
        <w:rPr>
          <w:rFonts w:hint="eastAsia"/>
          <w:lang w:eastAsia="zh-CN"/>
        </w:rPr>
        <w:t>大石桥市水利事务中心</w:t>
      </w:r>
    </w:p>
    <w:p>
      <w:pPr>
        <w:spacing w:line="440" w:lineRule="exact"/>
        <w:rPr>
          <w:rFonts w:hint="eastAsia" w:ascii="宋体" w:hAnsi="宋体" w:cs="宋体"/>
          <w:szCs w:val="21"/>
        </w:rPr>
      </w:pPr>
      <w:r>
        <w:rPr>
          <w:rFonts w:hint="eastAsia" w:ascii="宋体" w:hAnsi="宋体" w:cs="宋体"/>
          <w:szCs w:val="21"/>
        </w:rPr>
        <w:t>1.1.2.3 承包人：（签约后填入承包人的名称）。</w:t>
      </w:r>
      <w:bookmarkEnd w:id="365"/>
    </w:p>
    <w:p>
      <w:pPr>
        <w:spacing w:line="440" w:lineRule="exact"/>
        <w:rPr>
          <w:rFonts w:hint="eastAsia" w:ascii="宋体" w:hAnsi="宋体" w:cs="宋体"/>
          <w:szCs w:val="21"/>
        </w:rPr>
      </w:pPr>
      <w:bookmarkStart w:id="366" w:name="_Toc221951117"/>
      <w:r>
        <w:rPr>
          <w:rFonts w:hint="eastAsia" w:ascii="宋体" w:hAnsi="宋体" w:cs="宋体"/>
          <w:szCs w:val="21"/>
        </w:rPr>
        <w:t>1.1.2.6 监理人：</w:t>
      </w:r>
      <w:bookmarkEnd w:id="366"/>
      <w:bookmarkStart w:id="367" w:name="_Toc221951125"/>
    </w:p>
    <w:p>
      <w:pPr>
        <w:spacing w:line="440" w:lineRule="exact"/>
        <w:rPr>
          <w:rFonts w:hint="eastAsia" w:ascii="宋体" w:hAnsi="宋体" w:cs="宋体"/>
          <w:szCs w:val="21"/>
        </w:rPr>
      </w:pPr>
      <w:r>
        <w:rPr>
          <w:rFonts w:hint="eastAsia" w:ascii="宋体" w:hAnsi="宋体" w:cs="宋体"/>
          <w:szCs w:val="21"/>
        </w:rPr>
        <w:t>1.1.4 日期</w:t>
      </w:r>
      <w:bookmarkEnd w:id="367"/>
    </w:p>
    <w:p>
      <w:pPr>
        <w:spacing w:line="440" w:lineRule="exact"/>
        <w:ind w:left="693" w:hanging="693" w:hangingChars="330"/>
        <w:rPr>
          <w:rFonts w:hint="eastAsia"/>
        </w:rPr>
      </w:pPr>
      <w:bookmarkStart w:id="368" w:name="_Toc221951126"/>
      <w:r>
        <w:rPr>
          <w:rFonts w:hint="eastAsia" w:ascii="宋体" w:hAnsi="宋体" w:cs="宋体"/>
          <w:szCs w:val="21"/>
        </w:rPr>
        <w:t>1.1.4.5 缺陷责任期（工程质量保修期）：本合同工程的缺陷责任期（工程质量保修期）为1年</w:t>
      </w:r>
      <w:bookmarkEnd w:id="368"/>
      <w:bookmarkStart w:id="369" w:name="_Toc292198050"/>
      <w:r>
        <w:rPr>
          <w:rFonts w:hint="eastAsia" w:ascii="宋体" w:hAnsi="宋体" w:cs="宋体"/>
          <w:szCs w:val="21"/>
        </w:rPr>
        <w:t>，</w:t>
      </w:r>
    </w:p>
    <w:bookmarkEnd w:id="350"/>
    <w:bookmarkEnd w:id="351"/>
    <w:bookmarkEnd w:id="352"/>
    <w:bookmarkEnd w:id="353"/>
    <w:bookmarkEnd w:id="354"/>
    <w:bookmarkEnd w:id="355"/>
    <w:bookmarkEnd w:id="356"/>
    <w:bookmarkEnd w:id="369"/>
    <w:p>
      <w:pPr>
        <w:topLinePunct/>
        <w:spacing w:line="360" w:lineRule="auto"/>
        <w:jc w:val="left"/>
        <w:outlineLvl w:val="2"/>
        <w:rPr>
          <w:rFonts w:ascii="宋体" w:hAnsi="宋体" w:cs="宋体"/>
          <w:kern w:val="0"/>
          <w:szCs w:val="21"/>
          <w:lang w:val="zh-CN"/>
        </w:rPr>
      </w:pPr>
      <w:bookmarkStart w:id="370" w:name="_Toc66038516"/>
      <w:bookmarkStart w:id="371" w:name="_Toc21622615"/>
      <w:bookmarkStart w:id="372" w:name="_Toc221951129"/>
      <w:bookmarkStart w:id="373" w:name="_Toc66038241"/>
      <w:r>
        <w:rPr>
          <w:rFonts w:hint="eastAsia" w:ascii="宋体" w:hAnsi="宋体" w:cs="宋体"/>
          <w:kern w:val="0"/>
          <w:szCs w:val="21"/>
          <w:lang w:val="zh-CN"/>
        </w:rPr>
        <w:t>1.7 联络</w:t>
      </w:r>
      <w:bookmarkEnd w:id="370"/>
      <w:bookmarkEnd w:id="371"/>
      <w:bookmarkEnd w:id="372"/>
      <w:bookmarkEnd w:id="373"/>
    </w:p>
    <w:p>
      <w:pPr>
        <w:topLinePunct/>
        <w:spacing w:line="360" w:lineRule="auto"/>
        <w:jc w:val="left"/>
        <w:rPr>
          <w:rFonts w:ascii="宋体" w:hAnsi="宋体" w:cs="宋体"/>
          <w:kern w:val="0"/>
          <w:szCs w:val="21"/>
          <w:lang w:val="zh-CN"/>
        </w:rPr>
      </w:pPr>
      <w:bookmarkStart w:id="374" w:name="_Toc221951130"/>
      <w:r>
        <w:rPr>
          <w:rFonts w:ascii="宋体" w:hAnsi="宋体" w:cs="宋体"/>
          <w:kern w:val="0"/>
          <w:szCs w:val="21"/>
          <w:lang w:val="zh-CN"/>
        </w:rPr>
        <w:t>1</w:t>
      </w:r>
      <w:r>
        <w:rPr>
          <w:rFonts w:hint="eastAsia" w:ascii="宋体" w:hAnsi="宋体" w:cs="宋体"/>
          <w:kern w:val="0"/>
          <w:szCs w:val="21"/>
          <w:lang w:val="zh-CN"/>
        </w:rPr>
        <w:t>.</w:t>
      </w:r>
      <w:r>
        <w:rPr>
          <w:rFonts w:ascii="宋体" w:hAnsi="宋体" w:cs="宋体"/>
          <w:kern w:val="0"/>
          <w:szCs w:val="21"/>
          <w:lang w:val="zh-CN"/>
        </w:rPr>
        <w:t>7</w:t>
      </w:r>
      <w:r>
        <w:rPr>
          <w:rFonts w:hint="eastAsia" w:ascii="宋体" w:hAnsi="宋体" w:cs="宋体"/>
          <w:kern w:val="0"/>
          <w:szCs w:val="21"/>
          <w:lang w:val="zh-CN"/>
        </w:rPr>
        <w:t>.</w:t>
      </w:r>
      <w:r>
        <w:rPr>
          <w:rFonts w:ascii="宋体" w:hAnsi="宋体" w:cs="宋体"/>
          <w:kern w:val="0"/>
          <w:szCs w:val="21"/>
          <w:lang w:val="zh-CN"/>
        </w:rPr>
        <w:t>2</w:t>
      </w:r>
      <w:r>
        <w:rPr>
          <w:rFonts w:hint="eastAsia" w:ascii="宋体" w:hAnsi="宋体" w:cs="宋体"/>
          <w:kern w:val="0"/>
          <w:szCs w:val="21"/>
          <w:lang w:val="zh-CN"/>
        </w:rPr>
        <w:t xml:space="preserve">  来往函件均应按技术标准和要求（合同技术条款）约定的期限送达</w:t>
      </w:r>
      <w:r>
        <w:rPr>
          <w:rFonts w:hint="eastAsia" w:ascii="宋体" w:hAnsi="宋体" w:cs="宋体"/>
          <w:kern w:val="0"/>
          <w:szCs w:val="21"/>
          <w:u w:val="single"/>
          <w:lang w:val="zh-CN"/>
        </w:rPr>
        <w:t>监理人指定地点</w:t>
      </w:r>
      <w:r>
        <w:rPr>
          <w:rFonts w:hint="eastAsia" w:ascii="宋体" w:hAnsi="宋体" w:cs="宋体"/>
          <w:kern w:val="0"/>
          <w:szCs w:val="21"/>
          <w:lang w:val="zh-CN"/>
        </w:rPr>
        <w:t>。</w:t>
      </w:r>
      <w:bookmarkEnd w:id="374"/>
    </w:p>
    <w:p>
      <w:pPr>
        <w:topLinePunct/>
        <w:spacing w:line="360" w:lineRule="auto"/>
        <w:jc w:val="left"/>
        <w:outlineLvl w:val="1"/>
        <w:rPr>
          <w:rFonts w:ascii="宋体" w:hAnsi="宋体" w:cs="Microsoft JhengHei"/>
          <w:b/>
          <w:bCs/>
          <w:kern w:val="0"/>
          <w:szCs w:val="21"/>
          <w:lang w:val="zh-CN"/>
        </w:rPr>
      </w:pPr>
      <w:bookmarkStart w:id="375" w:name="_Toc222032697"/>
      <w:bookmarkStart w:id="376" w:name="_Toc229305388"/>
      <w:bookmarkStart w:id="377" w:name="_Toc222031030"/>
      <w:bookmarkStart w:id="378" w:name="_Toc221951131"/>
      <w:bookmarkStart w:id="379" w:name="_Toc468952832"/>
      <w:bookmarkStart w:id="380" w:name="_Toc222033879"/>
      <w:bookmarkStart w:id="381" w:name="_Toc416870625"/>
      <w:bookmarkStart w:id="382" w:name="_Toc508279754"/>
      <w:bookmarkStart w:id="383" w:name="_Toc222029528"/>
      <w:bookmarkStart w:id="384" w:name="_Toc21622616"/>
      <w:bookmarkStart w:id="385" w:name="_Toc66038517"/>
      <w:bookmarkStart w:id="386" w:name="_Toc66038242"/>
      <w:r>
        <w:rPr>
          <w:rFonts w:hint="eastAsia" w:ascii="宋体" w:hAnsi="宋体" w:cs="Microsoft JhengHei"/>
          <w:b/>
          <w:bCs/>
          <w:kern w:val="0"/>
          <w:szCs w:val="21"/>
          <w:lang w:val="zh-CN"/>
        </w:rPr>
        <w:t>2.  发包人义务</w:t>
      </w:r>
      <w:bookmarkEnd w:id="375"/>
      <w:bookmarkEnd w:id="376"/>
      <w:bookmarkEnd w:id="377"/>
      <w:bookmarkEnd w:id="378"/>
      <w:bookmarkEnd w:id="379"/>
      <w:bookmarkEnd w:id="380"/>
      <w:bookmarkEnd w:id="381"/>
      <w:bookmarkEnd w:id="382"/>
      <w:bookmarkEnd w:id="383"/>
      <w:bookmarkEnd w:id="384"/>
      <w:bookmarkEnd w:id="385"/>
      <w:bookmarkEnd w:id="386"/>
    </w:p>
    <w:p>
      <w:pPr>
        <w:topLinePunct/>
        <w:spacing w:line="360" w:lineRule="auto"/>
        <w:jc w:val="left"/>
        <w:outlineLvl w:val="2"/>
        <w:rPr>
          <w:rFonts w:ascii="宋体" w:hAnsi="宋体" w:cs="宋体"/>
          <w:kern w:val="0"/>
          <w:szCs w:val="21"/>
          <w:lang w:val="zh-CN"/>
        </w:rPr>
      </w:pPr>
      <w:bookmarkStart w:id="387" w:name="_Toc66038243"/>
      <w:bookmarkStart w:id="388" w:name="_Toc221951132"/>
      <w:bookmarkStart w:id="389" w:name="_Toc21622617"/>
      <w:bookmarkStart w:id="390" w:name="_Toc66038518"/>
      <w:r>
        <w:rPr>
          <w:rFonts w:hint="eastAsia" w:ascii="宋体" w:hAnsi="宋体" w:cs="宋体"/>
          <w:kern w:val="0"/>
          <w:szCs w:val="21"/>
          <w:lang w:val="zh-CN"/>
        </w:rPr>
        <w:t>2.3</w:t>
      </w:r>
      <w:r>
        <w:rPr>
          <w:rFonts w:ascii="宋体" w:hAnsi="宋体" w:cs="宋体"/>
          <w:kern w:val="0"/>
          <w:szCs w:val="21"/>
          <w:lang w:val="zh-CN"/>
        </w:rPr>
        <w:t xml:space="preserve"> </w:t>
      </w:r>
      <w:r>
        <w:rPr>
          <w:rFonts w:hint="eastAsia" w:ascii="宋体" w:hAnsi="宋体" w:cs="宋体"/>
          <w:kern w:val="0"/>
          <w:szCs w:val="21"/>
          <w:lang w:val="zh-CN"/>
        </w:rPr>
        <w:t>提供施工场地</w:t>
      </w:r>
      <w:bookmarkEnd w:id="387"/>
      <w:bookmarkEnd w:id="388"/>
      <w:bookmarkEnd w:id="389"/>
      <w:bookmarkEnd w:id="390"/>
    </w:p>
    <w:p>
      <w:pPr>
        <w:topLinePunct/>
        <w:spacing w:line="360" w:lineRule="auto"/>
        <w:jc w:val="left"/>
        <w:rPr>
          <w:rFonts w:ascii="宋体" w:hAnsi="宋体" w:cs="宋体"/>
          <w:kern w:val="0"/>
          <w:szCs w:val="21"/>
          <w:u w:val="single"/>
          <w:lang w:val="zh-CN"/>
        </w:rPr>
      </w:pPr>
      <w:bookmarkStart w:id="391" w:name="_Toc221951133"/>
      <w:r>
        <w:rPr>
          <w:rFonts w:hint="eastAsia" w:ascii="宋体" w:hAnsi="宋体" w:cs="宋体"/>
          <w:kern w:val="0"/>
          <w:szCs w:val="21"/>
          <w:lang w:val="zh-CN"/>
        </w:rPr>
        <w:t>2.3.2 发包人提供的施工场地范围为：</w:t>
      </w:r>
      <w:bookmarkEnd w:id="391"/>
      <w:r>
        <w:rPr>
          <w:rFonts w:hint="eastAsia" w:ascii="宋体" w:hAnsi="宋体" w:cs="宋体"/>
          <w:kern w:val="0"/>
          <w:szCs w:val="21"/>
          <w:u w:val="single"/>
          <w:lang w:val="zh-CN"/>
        </w:rPr>
        <w:t>承包人须按发包人提供的占地位置、范围进行布置。</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2.3.3</w:t>
      </w:r>
      <w:r>
        <w:rPr>
          <w:rFonts w:ascii="宋体" w:hAnsi="宋体" w:cs="宋体"/>
          <w:kern w:val="0"/>
          <w:szCs w:val="21"/>
          <w:lang w:val="zh-CN"/>
        </w:rPr>
        <w:t xml:space="preserve"> </w:t>
      </w:r>
      <w:r>
        <w:rPr>
          <w:rFonts w:hint="eastAsia" w:ascii="宋体" w:hAnsi="宋体" w:cs="宋体"/>
          <w:kern w:val="0"/>
          <w:szCs w:val="21"/>
          <w:lang w:val="zh-CN"/>
        </w:rPr>
        <w:t>承包人自行勘察的施工场地范围为：</w:t>
      </w:r>
      <w:r>
        <w:rPr>
          <w:rStyle w:val="40"/>
          <w:rFonts w:hint="eastAsia" w:ascii="宋体" w:hAnsi="宋体"/>
          <w:color w:val="000000"/>
          <w:kern w:val="2"/>
          <w:sz w:val="21"/>
          <w:szCs w:val="22"/>
          <w:highlight w:val="none"/>
          <w:u w:val="single"/>
          <w:lang w:val="en-US" w:eastAsia="zh-CN" w:bidi="ar-SA"/>
        </w:rPr>
        <w:t xml:space="preserve">由承包人自行解决，其费用包含在报价之中 </w:t>
      </w:r>
      <w:r>
        <w:rPr>
          <w:rFonts w:hint="eastAsia" w:ascii="宋体" w:hAnsi="宋体" w:cs="宋体"/>
          <w:kern w:val="0"/>
          <w:szCs w:val="21"/>
          <w:lang w:val="zh-CN"/>
        </w:rPr>
        <w:t xml:space="preserve">  。</w:t>
      </w:r>
    </w:p>
    <w:p>
      <w:pPr>
        <w:topLinePunct/>
        <w:spacing w:line="360" w:lineRule="auto"/>
        <w:jc w:val="left"/>
        <w:outlineLvl w:val="1"/>
        <w:rPr>
          <w:rFonts w:ascii="宋体" w:hAnsi="宋体" w:cs="宋体"/>
          <w:kern w:val="0"/>
          <w:szCs w:val="21"/>
          <w:lang w:val="zh-CN"/>
        </w:rPr>
      </w:pPr>
      <w:bookmarkStart w:id="392" w:name="_Toc66038244"/>
      <w:bookmarkStart w:id="393" w:name="_Toc221951134"/>
      <w:bookmarkStart w:id="394" w:name="_Toc66038519"/>
      <w:bookmarkStart w:id="395" w:name="_Toc222029529"/>
      <w:bookmarkStart w:id="396" w:name="_Toc229305389"/>
      <w:bookmarkStart w:id="397" w:name="_Toc508279755"/>
      <w:bookmarkStart w:id="398" w:name="_Toc468952833"/>
      <w:bookmarkStart w:id="399" w:name="_Toc21622618"/>
      <w:bookmarkStart w:id="400" w:name="_Toc221951140"/>
      <w:bookmarkStart w:id="401" w:name="_Toc222033880"/>
      <w:bookmarkStart w:id="402" w:name="_Toc416870626"/>
      <w:bookmarkStart w:id="403" w:name="_Toc222031031"/>
      <w:bookmarkStart w:id="404" w:name="_Toc222032698"/>
      <w:r>
        <w:rPr>
          <w:rFonts w:hint="eastAsia" w:ascii="宋体" w:hAnsi="宋体" w:cs="宋体"/>
          <w:kern w:val="0"/>
          <w:szCs w:val="21"/>
          <w:lang w:val="zh-CN"/>
        </w:rPr>
        <w:t>2.8</w:t>
      </w:r>
      <w:r>
        <w:rPr>
          <w:rFonts w:ascii="宋体" w:hAnsi="宋体" w:cs="宋体"/>
          <w:kern w:val="0"/>
          <w:szCs w:val="21"/>
          <w:lang w:val="zh-CN"/>
        </w:rPr>
        <w:t xml:space="preserve"> </w:t>
      </w:r>
      <w:r>
        <w:rPr>
          <w:rFonts w:hint="eastAsia" w:ascii="宋体" w:hAnsi="宋体" w:cs="宋体"/>
          <w:kern w:val="0"/>
          <w:szCs w:val="21"/>
          <w:lang w:val="zh-CN"/>
        </w:rPr>
        <w:t>其它义务</w:t>
      </w:r>
      <w:bookmarkEnd w:id="392"/>
      <w:bookmarkEnd w:id="393"/>
      <w:bookmarkEnd w:id="394"/>
      <w:r>
        <w:rPr>
          <w:rFonts w:hint="eastAsia" w:ascii="宋体" w:hAnsi="宋体" w:cs="宋体"/>
          <w:kern w:val="0"/>
          <w:szCs w:val="21"/>
          <w:lang w:val="zh-CN"/>
        </w:rPr>
        <w:t xml:space="preserve"> </w:t>
      </w:r>
    </w:p>
    <w:p>
      <w:pPr>
        <w:topLinePunct/>
        <w:spacing w:line="360" w:lineRule="auto"/>
        <w:ind w:firstLine="420" w:firstLineChars="200"/>
        <w:jc w:val="left"/>
        <w:outlineLvl w:val="1"/>
        <w:rPr>
          <w:rFonts w:ascii="宋体" w:hAnsi="宋体" w:cs="宋体"/>
          <w:kern w:val="0"/>
          <w:szCs w:val="21"/>
          <w:lang w:val="zh-CN"/>
        </w:rPr>
      </w:pPr>
      <w:bookmarkStart w:id="405" w:name="_Toc66038245"/>
      <w:bookmarkStart w:id="406" w:name="_Toc66038520"/>
      <w:r>
        <w:rPr>
          <w:rFonts w:hint="eastAsia" w:ascii="宋体" w:hAnsi="宋体" w:cs="宋体"/>
          <w:kern w:val="0"/>
          <w:szCs w:val="21"/>
          <w:lang w:val="zh-CN"/>
        </w:rPr>
        <w:t>发包人不提供生产及生活用水、用电等设施，其费用均包含在《工程量清单》相应项目的总价</w:t>
      </w:r>
      <w:r>
        <w:rPr>
          <w:rFonts w:hint="eastAsia" w:ascii="宋体" w:hAnsi="宋体" w:cs="宋体"/>
          <w:kern w:val="0"/>
          <w:szCs w:val="21"/>
        </w:rPr>
        <w:t>或单价</w:t>
      </w:r>
      <w:r>
        <w:rPr>
          <w:rFonts w:hint="eastAsia" w:ascii="宋体" w:hAnsi="宋体" w:cs="宋体"/>
          <w:kern w:val="0"/>
          <w:szCs w:val="21"/>
          <w:lang w:val="zh-CN"/>
        </w:rPr>
        <w:t>中，发包人不另行支付。</w:t>
      </w:r>
      <w:bookmarkEnd w:id="405"/>
      <w:bookmarkEnd w:id="406"/>
    </w:p>
    <w:p>
      <w:pPr>
        <w:topLinePunct/>
        <w:spacing w:line="360" w:lineRule="auto"/>
        <w:jc w:val="left"/>
        <w:outlineLvl w:val="1"/>
        <w:rPr>
          <w:rFonts w:ascii="宋体" w:hAnsi="宋体" w:cs="Microsoft JhengHei"/>
          <w:b/>
          <w:bCs/>
          <w:kern w:val="0"/>
          <w:szCs w:val="21"/>
          <w:lang w:val="zh-CN"/>
        </w:rPr>
      </w:pPr>
      <w:bookmarkStart w:id="407" w:name="_Toc66038246"/>
      <w:bookmarkStart w:id="408" w:name="_Toc66038521"/>
      <w:r>
        <w:rPr>
          <w:rFonts w:hint="eastAsia" w:ascii="宋体" w:hAnsi="宋体" w:cs="Microsoft JhengHei"/>
          <w:b/>
          <w:bCs/>
          <w:kern w:val="0"/>
          <w:szCs w:val="21"/>
          <w:lang w:val="zh-CN"/>
        </w:rPr>
        <w:t>3.  监理人</w:t>
      </w:r>
      <w:bookmarkEnd w:id="395"/>
      <w:bookmarkEnd w:id="396"/>
      <w:bookmarkEnd w:id="397"/>
      <w:bookmarkEnd w:id="398"/>
      <w:bookmarkEnd w:id="399"/>
      <w:bookmarkEnd w:id="400"/>
      <w:bookmarkEnd w:id="401"/>
      <w:bookmarkEnd w:id="402"/>
      <w:bookmarkEnd w:id="403"/>
      <w:bookmarkEnd w:id="404"/>
      <w:bookmarkEnd w:id="407"/>
      <w:bookmarkEnd w:id="408"/>
    </w:p>
    <w:p>
      <w:pPr>
        <w:topLinePunct/>
        <w:spacing w:line="360" w:lineRule="auto"/>
        <w:jc w:val="left"/>
        <w:outlineLvl w:val="2"/>
        <w:rPr>
          <w:rFonts w:ascii="宋体" w:hAnsi="宋体" w:cs="宋体"/>
          <w:kern w:val="0"/>
          <w:szCs w:val="21"/>
          <w:lang w:val="zh-CN"/>
        </w:rPr>
      </w:pPr>
      <w:bookmarkStart w:id="409" w:name="_Toc221951141"/>
      <w:bookmarkStart w:id="410" w:name="_Toc21622619"/>
      <w:bookmarkStart w:id="411" w:name="_Toc66038522"/>
      <w:bookmarkStart w:id="412" w:name="_Toc66038247"/>
      <w:r>
        <w:rPr>
          <w:rFonts w:hint="eastAsia" w:ascii="宋体" w:hAnsi="宋体" w:cs="宋体"/>
          <w:kern w:val="0"/>
          <w:szCs w:val="21"/>
          <w:lang w:val="zh-CN"/>
        </w:rPr>
        <w:t>3.1  监理人的职责和权力</w:t>
      </w:r>
      <w:bookmarkEnd w:id="409"/>
      <w:bookmarkEnd w:id="410"/>
      <w:bookmarkEnd w:id="411"/>
      <w:bookmarkEnd w:id="412"/>
    </w:p>
    <w:p>
      <w:pPr>
        <w:topLinePunct/>
        <w:spacing w:line="360" w:lineRule="auto"/>
        <w:jc w:val="left"/>
        <w:rPr>
          <w:rFonts w:ascii="宋体" w:hAnsi="宋体" w:cs="宋体"/>
          <w:kern w:val="0"/>
          <w:szCs w:val="21"/>
          <w:lang w:val="zh-CN"/>
        </w:rPr>
      </w:pPr>
      <w:bookmarkStart w:id="413" w:name="_Toc221951142"/>
      <w:r>
        <w:rPr>
          <w:rFonts w:hint="eastAsia" w:ascii="宋体" w:hAnsi="宋体" w:cs="宋体"/>
          <w:kern w:val="0"/>
          <w:szCs w:val="21"/>
          <w:lang w:val="zh-CN"/>
        </w:rPr>
        <w:t>3.1.1</w:t>
      </w:r>
      <w:bookmarkEnd w:id="413"/>
      <w:r>
        <w:rPr>
          <w:rFonts w:hint="eastAsia" w:ascii="宋体" w:hAnsi="宋体" w:cs="宋体"/>
          <w:kern w:val="0"/>
          <w:szCs w:val="21"/>
          <w:lang w:val="zh-CN"/>
        </w:rPr>
        <w:t>　</w:t>
      </w:r>
      <w:bookmarkStart w:id="414" w:name="_Toc221951143"/>
      <w:r>
        <w:rPr>
          <w:rFonts w:hint="eastAsia" w:ascii="宋体" w:hAnsi="宋体" w:cs="宋体"/>
          <w:kern w:val="0"/>
          <w:szCs w:val="21"/>
          <w:lang w:val="zh-CN"/>
        </w:rPr>
        <w:t>监理人须根据发包人事先批准的权力范围行使权力，发包人批准的权力范围：</w:t>
      </w:r>
      <w:bookmarkEnd w:id="414"/>
    </w:p>
    <w:p>
      <w:pPr>
        <w:topLinePunct/>
        <w:spacing w:line="360" w:lineRule="auto"/>
        <w:rPr>
          <w:rFonts w:ascii="宋体" w:hAnsi="宋体" w:cs="宋体"/>
          <w:kern w:val="0"/>
          <w:szCs w:val="21"/>
          <w:lang w:val="zh-CN"/>
        </w:rPr>
      </w:pPr>
      <w:bookmarkStart w:id="415" w:name="_Toc221951145"/>
      <w:bookmarkStart w:id="416" w:name="_Toc221951146"/>
      <w:r>
        <w:rPr>
          <w:rFonts w:hint="eastAsia" w:ascii="宋体" w:hAnsi="宋体" w:cs="宋体"/>
          <w:kern w:val="0"/>
          <w:szCs w:val="21"/>
          <w:lang w:val="zh-CN"/>
        </w:rPr>
        <w:t>(</w:t>
      </w:r>
      <w:r>
        <w:rPr>
          <w:rFonts w:ascii="宋体" w:hAnsi="宋体" w:cs="宋体"/>
          <w:kern w:val="0"/>
          <w:szCs w:val="21"/>
          <w:lang w:val="zh-CN"/>
        </w:rPr>
        <w:t>1</w:t>
      </w:r>
      <w:r>
        <w:rPr>
          <w:rFonts w:hint="eastAsia" w:ascii="宋体" w:hAnsi="宋体" w:cs="宋体"/>
          <w:kern w:val="0"/>
          <w:szCs w:val="21"/>
          <w:lang w:val="zh-CN"/>
        </w:rPr>
        <w:t>)按第4.3条约定，批准工程的分包；</w:t>
      </w:r>
      <w:bookmarkEnd w:id="415"/>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2</w:t>
      </w:r>
      <w:r>
        <w:rPr>
          <w:rFonts w:hint="eastAsia" w:ascii="宋体" w:hAnsi="宋体" w:cs="宋体"/>
          <w:kern w:val="0"/>
          <w:szCs w:val="21"/>
          <w:lang w:val="zh-CN"/>
        </w:rPr>
        <w:t>)</w:t>
      </w:r>
      <w:r>
        <w:rPr>
          <w:rFonts w:ascii="宋体" w:hAnsi="宋体" w:cs="宋体"/>
          <w:kern w:val="0"/>
          <w:szCs w:val="21"/>
          <w:lang w:val="zh-CN"/>
        </w:rPr>
        <w:t>按第11.3</w:t>
      </w:r>
      <w:r>
        <w:rPr>
          <w:rFonts w:hint="eastAsia" w:ascii="宋体" w:hAnsi="宋体" w:cs="宋体"/>
          <w:kern w:val="0"/>
          <w:szCs w:val="21"/>
          <w:lang w:val="zh-CN"/>
        </w:rPr>
        <w:t>款</w:t>
      </w:r>
      <w:r>
        <w:rPr>
          <w:rFonts w:ascii="宋体" w:hAnsi="宋体" w:cs="宋体"/>
          <w:kern w:val="0"/>
          <w:szCs w:val="21"/>
          <w:lang w:val="zh-CN"/>
        </w:rPr>
        <w:t>约定，确定延长完工期限；</w:t>
      </w:r>
      <w:bookmarkEnd w:id="416"/>
    </w:p>
    <w:p>
      <w:pPr>
        <w:topLinePunct/>
        <w:spacing w:line="360" w:lineRule="auto"/>
        <w:jc w:val="left"/>
        <w:rPr>
          <w:rFonts w:ascii="宋体" w:hAnsi="宋体" w:cs="宋体"/>
          <w:kern w:val="0"/>
          <w:szCs w:val="21"/>
          <w:lang w:val="zh-CN"/>
        </w:rPr>
      </w:pPr>
      <w:bookmarkStart w:id="417" w:name="_Toc221951147"/>
      <w:r>
        <w:rPr>
          <w:rFonts w:hint="eastAsia" w:ascii="宋体" w:hAnsi="宋体" w:cs="宋体"/>
          <w:kern w:val="0"/>
          <w:szCs w:val="21"/>
          <w:lang w:val="zh-CN"/>
        </w:rPr>
        <w:t>(</w:t>
      </w:r>
      <w:r>
        <w:rPr>
          <w:rFonts w:ascii="宋体" w:hAnsi="宋体" w:cs="宋体"/>
          <w:kern w:val="0"/>
          <w:szCs w:val="21"/>
          <w:lang w:val="zh-CN"/>
        </w:rPr>
        <w:t>3</w:t>
      </w:r>
      <w:r>
        <w:rPr>
          <w:rFonts w:hint="eastAsia" w:ascii="宋体" w:hAnsi="宋体" w:cs="宋体"/>
          <w:kern w:val="0"/>
          <w:szCs w:val="21"/>
          <w:lang w:val="zh-CN"/>
        </w:rPr>
        <w:t>)</w:t>
      </w:r>
      <w:r>
        <w:rPr>
          <w:rFonts w:ascii="宋体" w:hAnsi="宋体" w:cs="宋体"/>
          <w:kern w:val="0"/>
          <w:szCs w:val="21"/>
          <w:lang w:val="zh-CN"/>
        </w:rPr>
        <w:t>按第15.6</w:t>
      </w:r>
      <w:r>
        <w:rPr>
          <w:rFonts w:hint="eastAsia" w:ascii="宋体" w:hAnsi="宋体" w:cs="宋体"/>
          <w:kern w:val="0"/>
          <w:szCs w:val="21"/>
          <w:lang w:val="zh-CN"/>
        </w:rPr>
        <w:t>款</w:t>
      </w:r>
      <w:r>
        <w:rPr>
          <w:rFonts w:ascii="宋体" w:hAnsi="宋体" w:cs="宋体"/>
          <w:kern w:val="0"/>
          <w:szCs w:val="21"/>
          <w:lang w:val="zh-CN"/>
        </w:rPr>
        <w:t>约定，批准暂列金额的使用；</w:t>
      </w:r>
      <w:bookmarkEnd w:id="417"/>
    </w:p>
    <w:p>
      <w:pPr>
        <w:topLinePunct/>
        <w:spacing w:line="360" w:lineRule="auto"/>
        <w:jc w:val="left"/>
        <w:rPr>
          <w:rFonts w:ascii="宋体" w:hAnsi="宋体" w:cs="宋体"/>
          <w:spacing w:val="-6"/>
          <w:kern w:val="0"/>
          <w:szCs w:val="21"/>
          <w:lang w:val="zh-CN"/>
        </w:rPr>
      </w:pPr>
      <w:r>
        <w:rPr>
          <w:rFonts w:hint="eastAsia" w:ascii="宋体" w:hAnsi="宋体" w:cs="宋体"/>
          <w:kern w:val="0"/>
          <w:szCs w:val="21"/>
          <w:lang w:val="zh-CN"/>
        </w:rPr>
        <w:t>(</w:t>
      </w:r>
      <w:r>
        <w:rPr>
          <w:rFonts w:ascii="宋体" w:hAnsi="宋体" w:cs="宋体"/>
          <w:kern w:val="0"/>
          <w:szCs w:val="21"/>
          <w:lang w:val="zh-CN"/>
        </w:rPr>
        <w:t>4</w:t>
      </w:r>
      <w:r>
        <w:rPr>
          <w:rFonts w:hint="eastAsia" w:ascii="宋体" w:hAnsi="宋体" w:cs="宋体"/>
          <w:kern w:val="0"/>
          <w:szCs w:val="21"/>
          <w:lang w:val="zh-CN"/>
        </w:rPr>
        <w:t>)</w:t>
      </w:r>
      <w:r>
        <w:rPr>
          <w:rFonts w:ascii="宋体" w:hAnsi="宋体" w:cs="宋体"/>
          <w:spacing w:val="-6"/>
          <w:kern w:val="0"/>
          <w:szCs w:val="21"/>
          <w:lang w:val="zh-CN"/>
        </w:rPr>
        <w:t>按4.5</w:t>
      </w:r>
      <w:r>
        <w:rPr>
          <w:rFonts w:hint="eastAsia" w:ascii="宋体" w:hAnsi="宋体" w:cs="宋体"/>
          <w:spacing w:val="-6"/>
          <w:kern w:val="0"/>
          <w:szCs w:val="21"/>
          <w:lang w:val="zh-CN"/>
        </w:rPr>
        <w:t>款、</w:t>
      </w:r>
      <w:r>
        <w:rPr>
          <w:rFonts w:hint="eastAsia" w:ascii="宋体" w:hAnsi="宋体" w:eastAsia="Times New Roman" w:cs="宋体"/>
          <w:kern w:val="0"/>
          <w:sz w:val="22"/>
          <w:szCs w:val="21"/>
          <w:lang w:val="zh-CN"/>
        </w:rPr>
        <w:t>4.6款及6.1款约定</w:t>
      </w:r>
      <w:r>
        <w:rPr>
          <w:rFonts w:ascii="宋体" w:hAnsi="宋体" w:cs="宋体"/>
          <w:spacing w:val="-6"/>
          <w:kern w:val="0"/>
          <w:szCs w:val="21"/>
          <w:lang w:val="zh-CN"/>
        </w:rPr>
        <w:t>约定，监理人同意承包人派出的项目经理、技术负责人及进场的主要设备的变化；</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5</w:t>
      </w:r>
      <w:r>
        <w:rPr>
          <w:rFonts w:hint="eastAsia" w:ascii="宋体" w:hAnsi="宋体" w:cs="宋体"/>
          <w:kern w:val="0"/>
          <w:szCs w:val="21"/>
          <w:lang w:val="zh-CN"/>
        </w:rPr>
        <w:t>)</w:t>
      </w:r>
      <w:r>
        <w:rPr>
          <w:rFonts w:ascii="宋体" w:hAnsi="宋体" w:cs="宋体"/>
          <w:kern w:val="0"/>
          <w:szCs w:val="21"/>
          <w:lang w:val="zh-CN"/>
        </w:rPr>
        <w:t>按第12.3</w:t>
      </w:r>
      <w:r>
        <w:rPr>
          <w:rFonts w:hint="eastAsia" w:ascii="宋体" w:hAnsi="宋体" w:cs="宋体"/>
          <w:kern w:val="0"/>
          <w:szCs w:val="21"/>
          <w:lang w:val="zh-CN"/>
        </w:rPr>
        <w:t>款</w:t>
      </w:r>
      <w:r>
        <w:rPr>
          <w:rFonts w:ascii="宋体" w:hAnsi="宋体" w:cs="宋体"/>
          <w:kern w:val="0"/>
          <w:szCs w:val="21"/>
          <w:lang w:val="zh-CN"/>
        </w:rPr>
        <w:t>约定，指示暂时停工；</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6</w:t>
      </w:r>
      <w:r>
        <w:rPr>
          <w:rFonts w:hint="eastAsia" w:ascii="宋体" w:hAnsi="宋体" w:cs="宋体"/>
          <w:kern w:val="0"/>
          <w:szCs w:val="21"/>
          <w:lang w:val="zh-CN"/>
        </w:rPr>
        <w:t>)</w:t>
      </w:r>
      <w:r>
        <w:rPr>
          <w:rFonts w:ascii="宋体" w:hAnsi="宋体" w:cs="宋体"/>
          <w:kern w:val="0"/>
          <w:szCs w:val="21"/>
          <w:lang w:val="zh-CN"/>
        </w:rPr>
        <w:t>按第12.4</w:t>
      </w:r>
      <w:r>
        <w:rPr>
          <w:rFonts w:hint="eastAsia" w:ascii="宋体" w:hAnsi="宋体" w:cs="宋体"/>
          <w:kern w:val="0"/>
          <w:szCs w:val="21"/>
          <w:lang w:val="zh-CN"/>
        </w:rPr>
        <w:t>款</w:t>
      </w:r>
      <w:r>
        <w:rPr>
          <w:rFonts w:ascii="宋体" w:hAnsi="宋体" w:cs="宋体"/>
          <w:kern w:val="0"/>
          <w:szCs w:val="21"/>
          <w:lang w:val="zh-CN"/>
        </w:rPr>
        <w:t>约定，批准复工；</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7</w:t>
      </w:r>
      <w:r>
        <w:rPr>
          <w:rFonts w:hint="eastAsia" w:ascii="宋体" w:hAnsi="宋体" w:cs="宋体"/>
          <w:kern w:val="0"/>
          <w:szCs w:val="21"/>
          <w:lang w:val="zh-CN"/>
        </w:rPr>
        <w:t>)</w:t>
      </w:r>
      <w:r>
        <w:rPr>
          <w:rFonts w:ascii="宋体" w:hAnsi="宋体" w:cs="宋体"/>
          <w:kern w:val="0"/>
          <w:szCs w:val="21"/>
          <w:lang w:val="zh-CN"/>
        </w:rPr>
        <w:t>按15</w:t>
      </w:r>
      <w:r>
        <w:rPr>
          <w:rFonts w:hint="eastAsia" w:ascii="宋体" w:hAnsi="宋体" w:cs="宋体"/>
          <w:kern w:val="0"/>
          <w:szCs w:val="21"/>
          <w:lang w:val="zh-CN"/>
        </w:rPr>
        <w:t>条</w:t>
      </w:r>
      <w:r>
        <w:rPr>
          <w:rFonts w:ascii="宋体" w:hAnsi="宋体" w:cs="宋体"/>
          <w:kern w:val="0"/>
          <w:szCs w:val="21"/>
          <w:lang w:val="zh-CN"/>
        </w:rPr>
        <w:t>约定，</w:t>
      </w:r>
      <w:r>
        <w:rPr>
          <w:rFonts w:hint="eastAsia" w:ascii="宋体" w:hAnsi="宋体" w:cs="宋体"/>
          <w:kern w:val="0"/>
          <w:szCs w:val="21"/>
          <w:lang w:val="zh-CN"/>
        </w:rPr>
        <w:t>做出变更指示或批准变更。</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8</w:t>
      </w:r>
      <w:r>
        <w:rPr>
          <w:rFonts w:hint="eastAsia" w:ascii="宋体" w:hAnsi="宋体" w:cs="宋体"/>
          <w:kern w:val="0"/>
          <w:szCs w:val="21"/>
          <w:lang w:val="zh-CN"/>
        </w:rPr>
        <w:t>)</w:t>
      </w:r>
      <w:r>
        <w:rPr>
          <w:rFonts w:ascii="宋体" w:hAnsi="宋体" w:cs="宋体"/>
          <w:kern w:val="0"/>
          <w:szCs w:val="21"/>
          <w:lang w:val="zh-CN"/>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w:t>
      </w:r>
      <w:r>
        <w:rPr>
          <w:rFonts w:hint="eastAsia" w:ascii="宋体" w:hAnsi="宋体" w:cs="宋体"/>
          <w:kern w:val="0"/>
          <w:szCs w:val="21"/>
          <w:lang w:val="zh-CN"/>
        </w:rPr>
        <w:t>15</w:t>
      </w:r>
      <w:r>
        <w:rPr>
          <w:rFonts w:ascii="宋体" w:hAnsi="宋体" w:cs="宋体"/>
          <w:kern w:val="0"/>
          <w:szCs w:val="21"/>
          <w:lang w:val="zh-CN"/>
        </w:rPr>
        <w:t>条的规定增加相应的费用，并通知承包人。</w:t>
      </w:r>
    </w:p>
    <w:p>
      <w:pPr>
        <w:topLinePunct/>
        <w:spacing w:line="360" w:lineRule="auto"/>
        <w:jc w:val="left"/>
        <w:outlineLvl w:val="1"/>
        <w:rPr>
          <w:rFonts w:ascii="宋体" w:hAnsi="宋体" w:cs="Microsoft JhengHei"/>
          <w:b/>
          <w:bCs/>
          <w:kern w:val="0"/>
          <w:szCs w:val="21"/>
          <w:lang w:val="zh-CN"/>
        </w:rPr>
      </w:pPr>
      <w:bookmarkStart w:id="418" w:name="_Toc66038248"/>
      <w:bookmarkStart w:id="419" w:name="_Toc221951150"/>
      <w:bookmarkStart w:id="420" w:name="_Toc222032699"/>
      <w:bookmarkStart w:id="421" w:name="_Toc508279756"/>
      <w:bookmarkStart w:id="422" w:name="_Toc66038523"/>
      <w:bookmarkStart w:id="423" w:name="_Toc21622620"/>
      <w:bookmarkStart w:id="424" w:name="_Toc222031032"/>
      <w:bookmarkStart w:id="425" w:name="_Toc222033881"/>
      <w:bookmarkStart w:id="426" w:name="_Toc229305390"/>
      <w:bookmarkStart w:id="427" w:name="_Toc416870627"/>
      <w:bookmarkStart w:id="428" w:name="_Toc468952834"/>
      <w:bookmarkStart w:id="429" w:name="_Toc222029530"/>
      <w:r>
        <w:rPr>
          <w:rFonts w:hint="eastAsia" w:ascii="宋体" w:hAnsi="宋体" w:cs="Microsoft JhengHei"/>
          <w:b/>
          <w:bCs/>
          <w:kern w:val="0"/>
          <w:szCs w:val="21"/>
          <w:lang w:val="zh-CN"/>
        </w:rPr>
        <w:t>4.  承包人</w:t>
      </w:r>
      <w:bookmarkEnd w:id="418"/>
      <w:bookmarkEnd w:id="419"/>
      <w:bookmarkEnd w:id="420"/>
      <w:bookmarkEnd w:id="421"/>
      <w:bookmarkEnd w:id="422"/>
      <w:bookmarkEnd w:id="423"/>
      <w:bookmarkEnd w:id="424"/>
      <w:bookmarkEnd w:id="425"/>
      <w:bookmarkEnd w:id="426"/>
      <w:bookmarkEnd w:id="427"/>
      <w:bookmarkEnd w:id="428"/>
      <w:bookmarkEnd w:id="429"/>
    </w:p>
    <w:p>
      <w:pPr>
        <w:topLinePunct/>
        <w:jc w:val="left"/>
        <w:outlineLvl w:val="2"/>
        <w:rPr>
          <w:rFonts w:ascii="宋体" w:hAnsi="宋体" w:cs="宋体"/>
          <w:kern w:val="0"/>
          <w:szCs w:val="21"/>
          <w:lang w:val="zh-CN"/>
        </w:rPr>
      </w:pPr>
      <w:bookmarkStart w:id="430" w:name="_Toc292198059"/>
      <w:bookmarkStart w:id="431" w:name="_Toc66038249"/>
      <w:bookmarkStart w:id="432" w:name="_Toc66038524"/>
      <w:bookmarkStart w:id="433" w:name="_Toc447823166"/>
      <w:r>
        <w:rPr>
          <w:rFonts w:hint="eastAsia" w:ascii="宋体" w:hAnsi="宋体" w:cs="宋体"/>
          <w:kern w:val="0"/>
          <w:szCs w:val="21"/>
          <w:lang w:val="zh-CN"/>
        </w:rPr>
        <w:t>4.1 承包人的一般义务</w:t>
      </w:r>
      <w:bookmarkEnd w:id="430"/>
      <w:bookmarkEnd w:id="431"/>
      <w:bookmarkEnd w:id="432"/>
      <w:bookmarkEnd w:id="433"/>
    </w:p>
    <w:p>
      <w:pPr>
        <w:topLinePunct/>
        <w:spacing w:line="440" w:lineRule="exact"/>
        <w:jc w:val="left"/>
        <w:rPr>
          <w:rFonts w:ascii="宋体" w:hAnsi="宋体" w:cs="宋体"/>
          <w:kern w:val="0"/>
          <w:szCs w:val="21"/>
          <w:lang w:val="zh-CN"/>
        </w:rPr>
      </w:pPr>
      <w:r>
        <w:rPr>
          <w:rFonts w:hint="eastAsia" w:ascii="宋体" w:hAnsi="宋体" w:cs="宋体"/>
          <w:kern w:val="0"/>
          <w:szCs w:val="21"/>
          <w:lang w:val="zh-CN"/>
        </w:rPr>
        <w:t>4.1.8 为他人提供方便</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承包人应按监理人的指示为他人在施工场地或附近实施与工程有关的其他各项工作提供条件。承包人提供有关条件的内容和可能发生的费用（设备、设施、材料费用除外）包含在工程单价或总价中，发包人不另行支付。</w:t>
      </w:r>
    </w:p>
    <w:p>
      <w:pPr>
        <w:topLinePunct/>
        <w:spacing w:line="440" w:lineRule="exact"/>
        <w:jc w:val="left"/>
        <w:rPr>
          <w:rFonts w:ascii="宋体" w:hAnsi="宋体" w:cs="宋体"/>
          <w:kern w:val="0"/>
          <w:szCs w:val="21"/>
          <w:lang w:val="zh-CN"/>
        </w:rPr>
      </w:pPr>
      <w:r>
        <w:rPr>
          <w:rFonts w:hint="eastAsia" w:ascii="宋体" w:hAnsi="宋体" w:cs="宋体"/>
          <w:kern w:val="0"/>
          <w:szCs w:val="21"/>
          <w:lang w:val="zh-CN"/>
        </w:rPr>
        <w:t>4.1.10 其它义务</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1）采取工程和技术措施，配备相应设备防止因施工原因引起的振动、噪声、粉尘、排水等影响当地环境及周边企事业单位和居民的正常生产、生活或造成财产损失。承包人应充分考虑上述潜在的风险因素，并承担为解决上述问题而发生的一切费用。</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（2）负责处理与地方各级组织（乡镇、村委会及村民小组）及个人引起的各种纠纷，所发生的一切费用由承包人承担。</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（3）承包人应自行勘察施工场地，包括施工场地的地下障碍物的探测和调查。承包人应保证施工场地的地下障碍物的探测和调查资料真实、准确、完整，并在工程验收时按档案管理规定一并移交给发包人存档。</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4）承包人应根据合同工程的施工需要，自行办理施工场地内除发包人负责办理的有关项目以外的道路、河流、渠道、堤防、管线（包括但不限于地上和地下的供水、排水、供电、供气、供热、通讯、广播电视等管路和线路）等交叉施工许可，并承担相关费用。</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（6）承包人应保证投标文件中承诺的主要施工设备按期进场。</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（7）承包人应对发包人布设的管理设施负有管理和保护的义务，并提供施工方便。</w:t>
      </w:r>
    </w:p>
    <w:p>
      <w:pPr>
        <w:topLinePunct/>
        <w:spacing w:line="44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（8）承包人应当为发包人及其他有关人员检查工作提供便利条件，并不得以此为由索取额外费用和工期。</w:t>
      </w:r>
    </w:p>
    <w:p>
      <w:pPr>
        <w:topLinePunct/>
        <w:spacing w:line="360" w:lineRule="auto"/>
        <w:ind w:firstLine="420" w:firstLineChars="200"/>
        <w:jc w:val="left"/>
        <w:outlineLvl w:val="1"/>
        <w:rPr>
          <w:rFonts w:ascii="宋体" w:hAnsi="宋体" w:cs="Microsoft JhengHei"/>
          <w:b/>
          <w:bCs/>
          <w:kern w:val="0"/>
          <w:szCs w:val="21"/>
          <w:lang w:val="zh-CN"/>
        </w:rPr>
      </w:pPr>
      <w:bookmarkStart w:id="434" w:name="_Toc66038525"/>
      <w:bookmarkStart w:id="435" w:name="_Toc66038250"/>
      <w:r>
        <w:rPr>
          <w:rFonts w:hint="eastAsia" w:ascii="宋体" w:hAnsi="宋体" w:cs="宋体"/>
          <w:kern w:val="0"/>
          <w:szCs w:val="21"/>
          <w:lang w:val="zh-CN"/>
        </w:rPr>
        <w:t>（9）主要材料及设备的供货厂家需经发包人审核同意后方可采购。</w:t>
      </w:r>
      <w:bookmarkEnd w:id="434"/>
      <w:bookmarkEnd w:id="435"/>
    </w:p>
    <w:p>
      <w:pPr>
        <w:topLinePunct/>
        <w:spacing w:line="360" w:lineRule="auto"/>
        <w:jc w:val="left"/>
        <w:outlineLvl w:val="2"/>
        <w:rPr>
          <w:rFonts w:ascii="宋体" w:hAnsi="宋体" w:cs="宋体"/>
          <w:kern w:val="0"/>
          <w:szCs w:val="21"/>
          <w:lang w:val="zh-CN"/>
        </w:rPr>
      </w:pPr>
      <w:bookmarkStart w:id="436" w:name="_Toc21622621"/>
      <w:bookmarkStart w:id="437" w:name="_Toc66038251"/>
      <w:bookmarkStart w:id="438" w:name="_Toc66038526"/>
      <w:bookmarkStart w:id="439" w:name="_Toc221951153"/>
      <w:r>
        <w:rPr>
          <w:rFonts w:hint="eastAsia" w:ascii="宋体" w:hAnsi="宋体" w:cs="宋体"/>
          <w:kern w:val="0"/>
          <w:szCs w:val="21"/>
          <w:lang w:val="zh-CN"/>
        </w:rPr>
        <w:t>4.3 分包</w:t>
      </w:r>
      <w:bookmarkEnd w:id="436"/>
      <w:bookmarkEnd w:id="437"/>
      <w:bookmarkEnd w:id="438"/>
      <w:bookmarkEnd w:id="439"/>
    </w:p>
    <w:p>
      <w:pPr>
        <w:topLinePunct/>
        <w:spacing w:line="360" w:lineRule="auto"/>
        <w:jc w:val="left"/>
        <w:rPr>
          <w:rFonts w:ascii="宋体" w:hAnsi="宋体" w:cs="宋体"/>
          <w:bCs/>
          <w:kern w:val="0"/>
          <w:szCs w:val="21"/>
          <w:lang w:val="zh-CN"/>
        </w:rPr>
      </w:pPr>
      <w:r>
        <w:rPr>
          <w:rFonts w:hint="eastAsia" w:ascii="宋体" w:hAnsi="宋体" w:cs="宋体"/>
          <w:bCs/>
          <w:kern w:val="0"/>
          <w:szCs w:val="21"/>
          <w:lang w:val="zh-CN"/>
        </w:rPr>
        <w:t xml:space="preserve">   本工程不允许分包。</w:t>
      </w:r>
    </w:p>
    <w:p>
      <w:pPr>
        <w:topLinePunct/>
        <w:spacing w:line="360" w:lineRule="auto"/>
        <w:jc w:val="left"/>
        <w:outlineLvl w:val="2"/>
        <w:rPr>
          <w:rFonts w:ascii="宋体" w:hAnsi="宋体" w:cs="宋体"/>
          <w:kern w:val="0"/>
          <w:szCs w:val="21"/>
          <w:lang w:val="zh-CN"/>
        </w:rPr>
      </w:pPr>
      <w:bookmarkStart w:id="440" w:name="_Toc21622622"/>
      <w:bookmarkStart w:id="441" w:name="_Toc66038252"/>
      <w:bookmarkStart w:id="442" w:name="_Toc66038527"/>
      <w:r>
        <w:rPr>
          <w:rFonts w:hint="eastAsia" w:ascii="宋体" w:hAnsi="宋体" w:cs="宋体"/>
          <w:kern w:val="0"/>
          <w:szCs w:val="21"/>
          <w:lang w:val="zh-CN"/>
        </w:rPr>
        <w:t>4.5 承包人项目经理</w:t>
      </w:r>
      <w:bookmarkEnd w:id="440"/>
      <w:bookmarkEnd w:id="441"/>
      <w:bookmarkEnd w:id="442"/>
    </w:p>
    <w:p>
      <w:pPr>
        <w:topLinePunct/>
        <w:spacing w:line="360" w:lineRule="auto"/>
        <w:ind w:firstLine="420" w:firstLineChars="200"/>
        <w:jc w:val="left"/>
        <w:rPr>
          <w:rFonts w:ascii="宋体" w:hAnsi="宋体" w:cs="宋体"/>
          <w:bCs/>
          <w:kern w:val="0"/>
          <w:szCs w:val="21"/>
          <w:lang w:val="zh-CN"/>
        </w:rPr>
      </w:pPr>
      <w:r>
        <w:rPr>
          <w:rFonts w:hint="eastAsia" w:ascii="宋体" w:hAnsi="宋体" w:cs="宋体"/>
          <w:bCs/>
          <w:kern w:val="0"/>
          <w:szCs w:val="21"/>
          <w:lang w:val="zh-CN"/>
        </w:rPr>
        <w:t>对</w:t>
      </w:r>
      <w:r>
        <w:rPr>
          <w:rFonts w:ascii="宋体" w:hAnsi="宋体" w:cs="宋体"/>
          <w:bCs/>
          <w:kern w:val="0"/>
          <w:szCs w:val="21"/>
          <w:lang w:val="zh-CN"/>
        </w:rPr>
        <w:t>4.5.1项做</w:t>
      </w:r>
      <w:r>
        <w:rPr>
          <w:rFonts w:hint="eastAsia" w:ascii="宋体" w:hAnsi="宋体" w:cs="宋体"/>
          <w:bCs/>
          <w:kern w:val="0"/>
          <w:szCs w:val="21"/>
          <w:lang w:val="zh-CN"/>
        </w:rPr>
        <w:t>如下补充：</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承包人派驻的</w:t>
      </w:r>
      <w:r>
        <w:rPr>
          <w:rFonts w:hint="eastAsia" w:ascii="宋体" w:hAnsi="宋体" w:cs="宋体"/>
          <w:kern w:val="0"/>
          <w:szCs w:val="21"/>
          <w:lang w:val="zh-CN"/>
        </w:rPr>
        <w:t>项目经理</w:t>
      </w:r>
      <w:r>
        <w:rPr>
          <w:rFonts w:ascii="宋体" w:hAnsi="宋体" w:cs="宋体"/>
          <w:kern w:val="0"/>
          <w:szCs w:val="21"/>
          <w:lang w:val="zh-CN"/>
        </w:rPr>
        <w:t>必须和投标</w:t>
      </w:r>
      <w:r>
        <w:rPr>
          <w:rFonts w:hint="eastAsia" w:ascii="宋体" w:hAnsi="宋体" w:cs="宋体"/>
          <w:kern w:val="0"/>
          <w:szCs w:val="21"/>
          <w:lang w:val="zh-CN"/>
        </w:rPr>
        <w:t>文件</w:t>
      </w:r>
      <w:r>
        <w:rPr>
          <w:rFonts w:ascii="宋体" w:hAnsi="宋体" w:cs="宋体"/>
          <w:kern w:val="0"/>
          <w:szCs w:val="21"/>
          <w:lang w:val="zh-CN"/>
        </w:rPr>
        <w:t>约定的人员一致。工地现场建立考勤制度，</w:t>
      </w:r>
      <w:r>
        <w:rPr>
          <w:rFonts w:hint="eastAsia" w:ascii="宋体" w:hAnsi="宋体" w:cs="宋体"/>
          <w:kern w:val="0"/>
          <w:szCs w:val="21"/>
          <w:lang w:val="zh-CN"/>
        </w:rPr>
        <w:t>施工期间</w:t>
      </w:r>
      <w:r>
        <w:rPr>
          <w:rFonts w:ascii="宋体" w:hAnsi="宋体" w:cs="宋体"/>
          <w:kern w:val="0"/>
          <w:szCs w:val="21"/>
          <w:lang w:val="zh-CN"/>
        </w:rPr>
        <w:t>项目经理工地出勤天数每月不得低于21天，</w:t>
      </w:r>
      <w:r>
        <w:rPr>
          <w:rFonts w:hint="eastAsia" w:ascii="宋体" w:hAnsi="宋体" w:cs="宋体"/>
          <w:kern w:val="0"/>
          <w:szCs w:val="21"/>
          <w:lang w:val="zh-CN"/>
        </w:rPr>
        <w:t>未经发包人同意，</w:t>
      </w:r>
      <w:r>
        <w:rPr>
          <w:rFonts w:ascii="宋体" w:hAnsi="宋体" w:cs="宋体"/>
          <w:kern w:val="0"/>
          <w:szCs w:val="21"/>
          <w:lang w:val="zh-CN"/>
        </w:rPr>
        <w:t>每少一天</w:t>
      </w:r>
      <w:r>
        <w:rPr>
          <w:rFonts w:hint="eastAsia" w:ascii="宋体" w:hAnsi="宋体" w:cs="宋体"/>
          <w:kern w:val="0"/>
          <w:szCs w:val="21"/>
          <w:lang w:val="zh-CN"/>
        </w:rPr>
        <w:t>向发包人支付</w:t>
      </w:r>
      <w:r>
        <w:rPr>
          <w:rFonts w:ascii="宋体" w:hAnsi="宋体" w:cs="宋体"/>
          <w:kern w:val="0"/>
          <w:szCs w:val="21"/>
          <w:lang w:val="zh-CN"/>
        </w:rPr>
        <w:t>每人5000元</w:t>
      </w:r>
      <w:r>
        <w:rPr>
          <w:rFonts w:hint="eastAsia" w:ascii="宋体" w:hAnsi="宋体" w:cs="宋体"/>
          <w:kern w:val="0"/>
          <w:szCs w:val="21"/>
          <w:lang w:val="zh-CN"/>
        </w:rPr>
        <w:t>/天的违约金</w:t>
      </w:r>
      <w:r>
        <w:rPr>
          <w:rFonts w:ascii="宋体" w:hAnsi="宋体" w:cs="宋体"/>
          <w:kern w:val="0"/>
          <w:szCs w:val="21"/>
          <w:lang w:val="zh-CN"/>
        </w:rPr>
        <w:t>。</w:t>
      </w:r>
      <w:r>
        <w:rPr>
          <w:rFonts w:hint="eastAsia" w:ascii="宋体" w:hAnsi="宋体" w:cs="宋体"/>
          <w:kern w:val="0"/>
          <w:szCs w:val="21"/>
          <w:lang w:val="zh-CN"/>
        </w:rPr>
        <w:t>无故缺席</w:t>
      </w:r>
      <w:r>
        <w:rPr>
          <w:rFonts w:ascii="宋体" w:hAnsi="宋体" w:cs="宋体"/>
          <w:kern w:val="0"/>
          <w:szCs w:val="21"/>
          <w:lang w:val="zh-CN"/>
        </w:rPr>
        <w:t>4</w:t>
      </w:r>
      <w:r>
        <w:rPr>
          <w:rFonts w:hint="eastAsia" w:ascii="宋体" w:hAnsi="宋体" w:cs="宋体"/>
          <w:kern w:val="0"/>
          <w:szCs w:val="21"/>
          <w:lang w:val="zh-CN"/>
        </w:rPr>
        <w:t>天以上，按相关规定上报</w:t>
      </w:r>
      <w:r>
        <w:rPr>
          <w:rFonts w:hint="eastAsia"/>
        </w:rPr>
        <w:t>水行政主管部门进行调查处理</w:t>
      </w:r>
      <w:r>
        <w:rPr>
          <w:rFonts w:hint="eastAsia" w:ascii="宋体" w:hAnsi="宋体" w:cs="宋体"/>
          <w:kern w:val="0"/>
          <w:szCs w:val="21"/>
          <w:lang w:val="zh-CN"/>
        </w:rPr>
        <w:t>。</w:t>
      </w:r>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未经发包人同意更换项目经理，承包人应向发包人缴纳违约金</w:t>
      </w:r>
      <w:r>
        <w:rPr>
          <w:rFonts w:ascii="宋体" w:hAnsi="宋体" w:cs="宋体"/>
          <w:kern w:val="0"/>
          <w:szCs w:val="21"/>
          <w:lang w:val="zh-CN"/>
        </w:rPr>
        <w:t>3</w:t>
      </w:r>
      <w:r>
        <w:rPr>
          <w:rFonts w:hint="eastAsia" w:ascii="宋体" w:hAnsi="宋体" w:cs="宋体"/>
          <w:kern w:val="0"/>
          <w:szCs w:val="21"/>
          <w:lang w:val="zh-CN"/>
        </w:rPr>
        <w:t>万元。</w:t>
      </w:r>
    </w:p>
    <w:p>
      <w:pPr>
        <w:topLinePunct/>
        <w:spacing w:line="360" w:lineRule="auto"/>
        <w:jc w:val="left"/>
        <w:outlineLvl w:val="2"/>
        <w:rPr>
          <w:rFonts w:ascii="宋体" w:hAnsi="宋体" w:cs="宋体"/>
          <w:kern w:val="0"/>
          <w:szCs w:val="21"/>
          <w:lang w:val="zh-CN"/>
        </w:rPr>
      </w:pPr>
      <w:bookmarkStart w:id="443" w:name="_Toc66038528"/>
      <w:bookmarkStart w:id="444" w:name="_Toc66038253"/>
      <w:bookmarkStart w:id="445" w:name="_Toc21622623"/>
      <w:r>
        <w:rPr>
          <w:rFonts w:hint="eastAsia" w:ascii="宋体" w:hAnsi="宋体" w:cs="宋体"/>
          <w:kern w:val="0"/>
          <w:szCs w:val="21"/>
          <w:lang w:val="zh-CN"/>
        </w:rPr>
        <w:t>4.6 承包人人员的管理</w:t>
      </w:r>
      <w:bookmarkEnd w:id="443"/>
      <w:bookmarkEnd w:id="444"/>
      <w:bookmarkEnd w:id="445"/>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对4.6.3项做如下补充：</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承包人派驻</w:t>
      </w:r>
      <w:r>
        <w:rPr>
          <w:rFonts w:hint="eastAsia" w:ascii="宋体" w:hAnsi="宋体" w:cs="宋体"/>
          <w:kern w:val="0"/>
          <w:szCs w:val="21"/>
          <w:lang w:val="zh-CN"/>
        </w:rPr>
        <w:t>的项目技术负责人必须和投标文件</w:t>
      </w:r>
      <w:r>
        <w:rPr>
          <w:rFonts w:ascii="宋体" w:hAnsi="宋体" w:cs="宋体"/>
          <w:kern w:val="0"/>
          <w:szCs w:val="21"/>
          <w:lang w:val="zh-CN"/>
        </w:rPr>
        <w:t>约定的人员一致。工地现场建立考勤制度，</w:t>
      </w:r>
      <w:r>
        <w:rPr>
          <w:rFonts w:hint="eastAsia" w:ascii="宋体" w:hAnsi="宋体" w:cs="宋体"/>
          <w:kern w:val="0"/>
          <w:szCs w:val="21"/>
          <w:lang w:val="zh-CN"/>
        </w:rPr>
        <w:t>施工期间项目</w:t>
      </w:r>
      <w:r>
        <w:rPr>
          <w:rFonts w:ascii="宋体" w:hAnsi="宋体" w:cs="宋体"/>
          <w:kern w:val="0"/>
          <w:szCs w:val="21"/>
          <w:lang w:val="zh-CN"/>
        </w:rPr>
        <w:t>技术负责人工地出勤天数每月不得低于21天，</w:t>
      </w:r>
      <w:r>
        <w:rPr>
          <w:rFonts w:hint="eastAsia" w:ascii="宋体" w:hAnsi="宋体" w:cs="宋体"/>
          <w:kern w:val="0"/>
          <w:szCs w:val="21"/>
          <w:lang w:val="zh-CN"/>
        </w:rPr>
        <w:t>未经发包人同意，</w:t>
      </w:r>
      <w:r>
        <w:rPr>
          <w:rFonts w:ascii="宋体" w:hAnsi="宋体" w:cs="宋体"/>
          <w:kern w:val="0"/>
          <w:szCs w:val="21"/>
          <w:lang w:val="zh-CN"/>
        </w:rPr>
        <w:t>每少一天</w:t>
      </w:r>
      <w:r>
        <w:rPr>
          <w:rFonts w:hint="eastAsia" w:ascii="宋体" w:hAnsi="宋体" w:cs="宋体"/>
          <w:kern w:val="0"/>
          <w:szCs w:val="21"/>
          <w:lang w:val="zh-CN"/>
        </w:rPr>
        <w:t>向发包人支付</w:t>
      </w:r>
      <w:r>
        <w:rPr>
          <w:rFonts w:ascii="宋体" w:hAnsi="宋体" w:cs="宋体"/>
          <w:kern w:val="0"/>
          <w:szCs w:val="21"/>
          <w:lang w:val="zh-CN"/>
        </w:rPr>
        <w:t>每人2000元</w:t>
      </w:r>
      <w:r>
        <w:rPr>
          <w:rFonts w:hint="eastAsia" w:ascii="宋体" w:hAnsi="宋体" w:cs="宋体"/>
          <w:kern w:val="0"/>
          <w:szCs w:val="21"/>
          <w:lang w:val="zh-CN"/>
        </w:rPr>
        <w:t>/天的违约金</w:t>
      </w:r>
      <w:r>
        <w:rPr>
          <w:rFonts w:ascii="宋体" w:hAnsi="宋体" w:cs="宋体"/>
          <w:kern w:val="0"/>
          <w:szCs w:val="21"/>
          <w:lang w:val="zh-CN"/>
        </w:rPr>
        <w:t>。</w:t>
      </w:r>
      <w:r>
        <w:rPr>
          <w:rFonts w:hint="eastAsia" w:ascii="宋体" w:hAnsi="宋体" w:cs="宋体"/>
          <w:kern w:val="0"/>
          <w:szCs w:val="21"/>
          <w:lang w:val="zh-CN"/>
        </w:rPr>
        <w:t>无故缺席</w:t>
      </w:r>
      <w:r>
        <w:rPr>
          <w:rFonts w:ascii="宋体" w:hAnsi="宋体" w:cs="宋体"/>
          <w:kern w:val="0"/>
          <w:szCs w:val="21"/>
          <w:lang w:val="zh-CN"/>
        </w:rPr>
        <w:t>4</w:t>
      </w:r>
      <w:r>
        <w:rPr>
          <w:rFonts w:hint="eastAsia" w:ascii="宋体" w:hAnsi="宋体" w:cs="宋体"/>
          <w:kern w:val="0"/>
          <w:szCs w:val="21"/>
          <w:lang w:val="zh-CN"/>
        </w:rPr>
        <w:t>天以上，按相关规定上报水利</w:t>
      </w:r>
      <w:r>
        <w:rPr>
          <w:rFonts w:hint="eastAsia"/>
        </w:rPr>
        <w:t>水行政主管部门进行调查处理</w:t>
      </w:r>
      <w:r>
        <w:rPr>
          <w:rFonts w:hint="eastAsia" w:ascii="宋体" w:hAnsi="宋体" w:cs="宋体"/>
          <w:kern w:val="0"/>
          <w:szCs w:val="21"/>
          <w:lang w:val="zh-CN"/>
        </w:rPr>
        <w:t>。</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lang w:val="zh-CN"/>
        </w:rPr>
        <w:t>未经发包人同意更换项目技术负责人，承包人应向发包人缴纳违约金</w:t>
      </w:r>
      <w:r>
        <w:rPr>
          <w:rFonts w:hint="eastAsia" w:ascii="宋体" w:hAnsi="宋体" w:cs="宋体"/>
          <w:kern w:val="0"/>
          <w:szCs w:val="21"/>
          <w:highlight w:val="none"/>
          <w:lang w:val="en-US" w:eastAsia="zh-CN"/>
        </w:rPr>
        <w:t>3</w:t>
      </w:r>
      <w:r>
        <w:rPr>
          <w:rFonts w:hint="eastAsia" w:ascii="宋体" w:hAnsi="宋体" w:cs="宋体"/>
          <w:kern w:val="0"/>
          <w:szCs w:val="21"/>
          <w:highlight w:val="none"/>
          <w:lang w:val="zh-CN"/>
        </w:rPr>
        <w:t>万元/人。</w:t>
      </w:r>
    </w:p>
    <w:p>
      <w:pPr>
        <w:topLinePunct/>
        <w:spacing w:line="360" w:lineRule="auto"/>
        <w:ind w:firstLine="420" w:firstLineChars="200"/>
        <w:jc w:val="left"/>
        <w:rPr>
          <w:rFonts w:ascii="宋体" w:hAnsi="宋体" w:cs="宋体"/>
          <w:kern w:val="0"/>
          <w:szCs w:val="21"/>
          <w:highlight w:val="none"/>
          <w:lang w:val="zh-CN"/>
        </w:rPr>
      </w:pPr>
      <w:r>
        <w:rPr>
          <w:rFonts w:ascii="宋体" w:hAnsi="宋体" w:cs="宋体"/>
          <w:kern w:val="0"/>
          <w:szCs w:val="21"/>
          <w:highlight w:val="none"/>
          <w:lang w:val="zh-CN"/>
        </w:rPr>
        <w:t>承包人派驻的工程施工</w:t>
      </w:r>
      <w:r>
        <w:rPr>
          <w:rFonts w:hint="eastAsia" w:ascii="宋体" w:hAnsi="宋体" w:cs="宋体"/>
          <w:kern w:val="0"/>
          <w:szCs w:val="21"/>
          <w:highlight w:val="none"/>
          <w:lang w:val="zh-CN"/>
        </w:rPr>
        <w:t>员</w:t>
      </w:r>
      <w:r>
        <w:rPr>
          <w:rFonts w:ascii="宋体" w:hAnsi="宋体" w:cs="宋体"/>
          <w:kern w:val="0"/>
          <w:szCs w:val="21"/>
          <w:highlight w:val="none"/>
          <w:lang w:val="zh-CN"/>
        </w:rPr>
        <w:t>、质检</w:t>
      </w:r>
      <w:r>
        <w:rPr>
          <w:rFonts w:hint="eastAsia" w:ascii="宋体" w:hAnsi="宋体" w:cs="宋体"/>
          <w:kern w:val="0"/>
          <w:szCs w:val="21"/>
          <w:highlight w:val="none"/>
          <w:lang w:val="zh-CN"/>
        </w:rPr>
        <w:t>员、安全员、材料员、资料员等主要管理人员和技术骨干</w:t>
      </w:r>
      <w:r>
        <w:rPr>
          <w:rFonts w:ascii="宋体" w:hAnsi="宋体" w:cs="宋体"/>
          <w:kern w:val="0"/>
          <w:szCs w:val="21"/>
          <w:highlight w:val="none"/>
          <w:lang w:val="zh-CN"/>
        </w:rPr>
        <w:t>必须和投标</w:t>
      </w:r>
      <w:r>
        <w:rPr>
          <w:rFonts w:hint="eastAsia" w:ascii="宋体" w:hAnsi="宋体" w:cs="宋体"/>
          <w:kern w:val="0"/>
          <w:szCs w:val="21"/>
          <w:highlight w:val="none"/>
          <w:lang w:val="zh-CN"/>
        </w:rPr>
        <w:t>文件</w:t>
      </w:r>
      <w:r>
        <w:rPr>
          <w:rFonts w:ascii="宋体" w:hAnsi="宋体" w:cs="宋体"/>
          <w:kern w:val="0"/>
          <w:szCs w:val="21"/>
          <w:highlight w:val="none"/>
          <w:lang w:val="zh-CN"/>
        </w:rPr>
        <w:t>约定的人员一致。工地现场建立考勤制度，</w:t>
      </w:r>
      <w:r>
        <w:rPr>
          <w:rFonts w:hint="eastAsia" w:ascii="宋体" w:hAnsi="宋体" w:cs="宋体"/>
          <w:kern w:val="0"/>
          <w:szCs w:val="21"/>
          <w:highlight w:val="none"/>
          <w:lang w:val="zh-CN"/>
        </w:rPr>
        <w:t>施工期间</w:t>
      </w:r>
      <w:r>
        <w:rPr>
          <w:rFonts w:ascii="宋体" w:hAnsi="宋体" w:cs="宋体"/>
          <w:kern w:val="0"/>
          <w:szCs w:val="21"/>
          <w:highlight w:val="none"/>
          <w:lang w:val="zh-CN"/>
        </w:rPr>
        <w:t>工程施工</w:t>
      </w:r>
      <w:r>
        <w:rPr>
          <w:rFonts w:hint="eastAsia" w:ascii="宋体" w:hAnsi="宋体" w:cs="宋体"/>
          <w:kern w:val="0"/>
          <w:szCs w:val="21"/>
          <w:highlight w:val="none"/>
          <w:lang w:val="zh-CN"/>
        </w:rPr>
        <w:t>员</w:t>
      </w:r>
      <w:r>
        <w:rPr>
          <w:rFonts w:ascii="宋体" w:hAnsi="宋体" w:cs="宋体"/>
          <w:kern w:val="0"/>
          <w:szCs w:val="21"/>
          <w:highlight w:val="none"/>
          <w:lang w:val="zh-CN"/>
        </w:rPr>
        <w:t>、质检</w:t>
      </w:r>
      <w:r>
        <w:rPr>
          <w:rFonts w:hint="eastAsia" w:ascii="宋体" w:hAnsi="宋体" w:cs="宋体"/>
          <w:kern w:val="0"/>
          <w:szCs w:val="21"/>
          <w:highlight w:val="none"/>
          <w:lang w:val="zh-CN"/>
        </w:rPr>
        <w:t>员、安全员</w:t>
      </w:r>
      <w:r>
        <w:rPr>
          <w:rFonts w:ascii="宋体" w:hAnsi="宋体" w:cs="宋体"/>
          <w:kern w:val="0"/>
          <w:szCs w:val="21"/>
          <w:highlight w:val="none"/>
          <w:lang w:val="zh-CN"/>
        </w:rPr>
        <w:t>工地出勤天数每月</w:t>
      </w:r>
      <w:r>
        <w:rPr>
          <w:rFonts w:hint="eastAsia" w:ascii="宋体" w:hAnsi="宋体" w:cs="宋体"/>
          <w:kern w:val="0"/>
          <w:szCs w:val="21"/>
          <w:highlight w:val="none"/>
          <w:lang w:val="zh-CN"/>
        </w:rPr>
        <w:t>均</w:t>
      </w:r>
      <w:r>
        <w:rPr>
          <w:rFonts w:ascii="宋体" w:hAnsi="宋体" w:cs="宋体"/>
          <w:kern w:val="0"/>
          <w:szCs w:val="21"/>
          <w:highlight w:val="none"/>
          <w:lang w:val="zh-CN"/>
        </w:rPr>
        <w:t>不得低于</w:t>
      </w:r>
      <w:r>
        <w:rPr>
          <w:rFonts w:hint="eastAsia" w:ascii="宋体" w:hAnsi="宋体" w:cs="宋体"/>
          <w:kern w:val="0"/>
          <w:szCs w:val="21"/>
          <w:highlight w:val="none"/>
          <w:lang w:val="zh-CN"/>
        </w:rPr>
        <w:t>2</w:t>
      </w:r>
      <w:r>
        <w:rPr>
          <w:rFonts w:ascii="宋体" w:hAnsi="宋体" w:cs="宋体"/>
          <w:kern w:val="0"/>
          <w:szCs w:val="21"/>
          <w:highlight w:val="none"/>
          <w:lang w:val="zh-CN"/>
        </w:rPr>
        <w:t>1天，</w:t>
      </w:r>
      <w:r>
        <w:rPr>
          <w:rFonts w:hint="eastAsia" w:ascii="宋体" w:hAnsi="宋体" w:cs="宋体"/>
          <w:kern w:val="0"/>
          <w:szCs w:val="21"/>
          <w:highlight w:val="none"/>
          <w:lang w:val="zh-CN"/>
        </w:rPr>
        <w:t>未经发包人同意，</w:t>
      </w:r>
      <w:r>
        <w:rPr>
          <w:rFonts w:ascii="宋体" w:hAnsi="宋体" w:cs="宋体"/>
          <w:kern w:val="0"/>
          <w:szCs w:val="21"/>
          <w:highlight w:val="none"/>
          <w:lang w:val="zh-CN"/>
        </w:rPr>
        <w:t>每少一天</w:t>
      </w:r>
      <w:r>
        <w:rPr>
          <w:rFonts w:hint="eastAsia" w:ascii="宋体" w:hAnsi="宋体" w:cs="宋体"/>
          <w:kern w:val="0"/>
          <w:szCs w:val="21"/>
          <w:highlight w:val="none"/>
          <w:lang w:val="zh-CN"/>
        </w:rPr>
        <w:t>向发包人支付</w:t>
      </w:r>
      <w:r>
        <w:rPr>
          <w:rFonts w:ascii="宋体" w:hAnsi="宋体" w:cs="宋体"/>
          <w:kern w:val="0"/>
          <w:szCs w:val="21"/>
          <w:highlight w:val="none"/>
          <w:lang w:val="zh-CN"/>
        </w:rPr>
        <w:t>每人2000元</w:t>
      </w:r>
      <w:r>
        <w:rPr>
          <w:rFonts w:hint="eastAsia" w:ascii="宋体" w:hAnsi="宋体" w:cs="宋体"/>
          <w:kern w:val="0"/>
          <w:szCs w:val="21"/>
          <w:highlight w:val="none"/>
          <w:lang w:val="zh-CN"/>
        </w:rPr>
        <w:t>/天的违约金</w:t>
      </w:r>
      <w:r>
        <w:rPr>
          <w:rFonts w:ascii="宋体" w:hAnsi="宋体" w:cs="宋体"/>
          <w:kern w:val="0"/>
          <w:szCs w:val="21"/>
          <w:highlight w:val="none"/>
          <w:lang w:val="zh-CN"/>
        </w:rPr>
        <w:t>。</w:t>
      </w:r>
      <w:r>
        <w:rPr>
          <w:rFonts w:hint="eastAsia" w:ascii="宋体" w:hAnsi="宋体" w:cs="宋体"/>
          <w:kern w:val="0"/>
          <w:szCs w:val="21"/>
          <w:highlight w:val="none"/>
          <w:lang w:val="zh-CN"/>
        </w:rPr>
        <w:t>无故缺席</w:t>
      </w:r>
      <w:r>
        <w:rPr>
          <w:rFonts w:ascii="宋体" w:hAnsi="宋体" w:cs="宋体"/>
          <w:kern w:val="0"/>
          <w:szCs w:val="21"/>
          <w:highlight w:val="none"/>
          <w:lang w:val="zh-CN"/>
        </w:rPr>
        <w:t>4</w:t>
      </w:r>
      <w:r>
        <w:rPr>
          <w:rFonts w:hint="eastAsia" w:ascii="宋体" w:hAnsi="宋体" w:cs="宋体"/>
          <w:kern w:val="0"/>
          <w:szCs w:val="21"/>
          <w:highlight w:val="none"/>
          <w:lang w:val="zh-CN"/>
        </w:rPr>
        <w:t>天以上，按相关规定上报</w:t>
      </w:r>
      <w:r>
        <w:rPr>
          <w:rFonts w:hint="eastAsia"/>
          <w:highlight w:val="none"/>
        </w:rPr>
        <w:t>水行政主管部门进行调查处理</w:t>
      </w:r>
      <w:r>
        <w:rPr>
          <w:rFonts w:hint="eastAsia" w:ascii="宋体" w:hAnsi="宋体" w:cs="宋体"/>
          <w:kern w:val="0"/>
          <w:szCs w:val="21"/>
          <w:highlight w:val="none"/>
          <w:lang w:val="zh-CN"/>
        </w:rPr>
        <w:t>。</w:t>
      </w:r>
    </w:p>
    <w:p>
      <w:pPr>
        <w:topLinePunct/>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未经发包人同意更换项目施工员、质检员、安全员、材料员、资料员等主要管理人员，承包人应向发包人缴纳违约金</w:t>
      </w:r>
      <w:r>
        <w:rPr>
          <w:rFonts w:ascii="宋体" w:hAnsi="宋体" w:cs="宋体"/>
          <w:kern w:val="0"/>
          <w:szCs w:val="21"/>
          <w:highlight w:val="none"/>
          <w:lang w:val="zh-CN"/>
        </w:rPr>
        <w:t>1</w:t>
      </w:r>
      <w:r>
        <w:rPr>
          <w:rFonts w:hint="eastAsia" w:ascii="宋体" w:hAnsi="宋体" w:cs="宋体"/>
          <w:kern w:val="0"/>
          <w:szCs w:val="21"/>
          <w:highlight w:val="none"/>
          <w:lang w:val="zh-CN"/>
        </w:rPr>
        <w:t>万元/人。</w:t>
      </w:r>
    </w:p>
    <w:p>
      <w:pPr>
        <w:pStyle w:val="67"/>
        <w:keepNext/>
        <w:keepLines/>
        <w:spacing w:before="120" w:after="120" w:line="400" w:lineRule="exact"/>
        <w:jc w:val="left"/>
        <w:outlineLvl w:val="2"/>
        <w:rPr>
          <w:rStyle w:val="40"/>
          <w:rFonts w:hint="eastAsia" w:ascii="宋体" w:hAnsi="宋体" w:eastAsia="宋体"/>
          <w:b/>
          <w:bCs/>
          <w:color w:val="000000"/>
          <w:kern w:val="2"/>
          <w:sz w:val="24"/>
          <w:szCs w:val="24"/>
          <w:highlight w:val="none"/>
          <w:lang w:val="en-US" w:eastAsia="zh-CN" w:bidi="ar-SA"/>
        </w:rPr>
      </w:pPr>
      <w:r>
        <w:rPr>
          <w:rStyle w:val="40"/>
          <w:rFonts w:hint="eastAsia" w:ascii="宋体" w:hAnsi="宋体" w:eastAsia="宋体"/>
          <w:b/>
          <w:bCs/>
          <w:color w:val="000000"/>
          <w:kern w:val="2"/>
          <w:sz w:val="24"/>
          <w:szCs w:val="24"/>
          <w:highlight w:val="none"/>
          <w:lang w:val="en-US" w:eastAsia="zh-CN" w:bidi="ar-SA"/>
        </w:rPr>
        <w:t>4.10 承包人现场查勘</w:t>
      </w:r>
    </w:p>
    <w:p>
      <w:pPr>
        <w:topLinePunct/>
        <w:spacing w:line="360" w:lineRule="auto"/>
        <w:ind w:firstLine="420" w:firstLineChars="200"/>
        <w:jc w:val="left"/>
        <w:rPr>
          <w:rStyle w:val="40"/>
          <w:rFonts w:hint="eastAsia" w:ascii="宋体" w:hAnsi="宋体" w:eastAsia="宋体"/>
          <w:color w:val="000000"/>
          <w:kern w:val="2"/>
          <w:highlight w:val="none"/>
          <w:lang w:val="en-US" w:eastAsia="zh-CN" w:bidi="ar-SA"/>
        </w:rPr>
      </w:pPr>
      <w:r>
        <w:rPr>
          <w:rStyle w:val="40"/>
          <w:rFonts w:hint="eastAsia" w:ascii="宋体" w:hAnsi="宋体" w:eastAsia="宋体"/>
          <w:color w:val="000000"/>
          <w:kern w:val="2"/>
          <w:highlight w:val="none"/>
          <w:lang w:val="en-US" w:eastAsia="zh-CN" w:bidi="ar-SA"/>
        </w:rPr>
        <w:t>对4.10.2项补充如下:承包人不得以施工现场和周围环境等原因做为工期延误的理由,不能免除承包人工期延误需要承担的违约责任,并不得以此提出增加工程费用以及要求发包人提供协调。</w:t>
      </w:r>
    </w:p>
    <w:p>
      <w:pPr>
        <w:pStyle w:val="67"/>
        <w:keepNext/>
        <w:keepLines/>
        <w:spacing w:before="120" w:after="120" w:line="400" w:lineRule="exact"/>
        <w:jc w:val="left"/>
        <w:outlineLvl w:val="2"/>
        <w:rPr>
          <w:rStyle w:val="40"/>
          <w:rFonts w:hint="eastAsia" w:ascii="宋体" w:hAnsi="宋体" w:eastAsia="宋体"/>
          <w:b/>
          <w:bCs/>
          <w:color w:val="000000"/>
          <w:kern w:val="2"/>
          <w:sz w:val="24"/>
          <w:szCs w:val="24"/>
          <w:highlight w:val="none"/>
          <w:lang w:val="en-US" w:eastAsia="zh-CN" w:bidi="ar-SA"/>
        </w:rPr>
      </w:pPr>
      <w:r>
        <w:rPr>
          <w:rStyle w:val="40"/>
          <w:rFonts w:hint="eastAsia" w:ascii="宋体" w:hAnsi="宋体" w:eastAsia="宋体"/>
          <w:b/>
          <w:bCs/>
          <w:color w:val="000000"/>
          <w:kern w:val="2"/>
          <w:sz w:val="24"/>
          <w:szCs w:val="24"/>
          <w:highlight w:val="none"/>
          <w:lang w:val="en-US" w:eastAsia="zh-CN" w:bidi="ar-SA"/>
        </w:rPr>
        <w:t>4.11不利物质条件</w:t>
      </w:r>
    </w:p>
    <w:p>
      <w:pPr>
        <w:topLinePunct/>
        <w:spacing w:line="360" w:lineRule="auto"/>
        <w:ind w:firstLine="420" w:firstLineChars="200"/>
        <w:jc w:val="left"/>
        <w:rPr>
          <w:rStyle w:val="40"/>
          <w:rFonts w:hint="eastAsia" w:ascii="宋体" w:hAnsi="宋体" w:eastAsia="宋体"/>
          <w:color w:val="000000"/>
          <w:kern w:val="2"/>
          <w:highlight w:val="none"/>
          <w:lang w:val="zh-CN" w:eastAsia="zh-CN" w:bidi="ar-SA"/>
        </w:rPr>
      </w:pPr>
      <w:r>
        <w:rPr>
          <w:rStyle w:val="40"/>
          <w:rFonts w:hint="eastAsia" w:ascii="宋体" w:hAnsi="宋体" w:eastAsia="宋体"/>
          <w:color w:val="000000"/>
          <w:kern w:val="2"/>
          <w:highlight w:val="none"/>
          <w:lang w:val="en-US" w:eastAsia="zh-CN" w:bidi="ar-SA"/>
        </w:rPr>
        <w:t>对4.11.2项补充如下:承包人遇到不利物质条件时,应采取适应不利物质条件的合理措施继续施工,并及时通知监理人。承包人无权要求延长工期及增加费用。</w:t>
      </w:r>
    </w:p>
    <w:p>
      <w:pPr>
        <w:topLinePunct/>
        <w:spacing w:line="360" w:lineRule="auto"/>
        <w:jc w:val="left"/>
        <w:outlineLvl w:val="1"/>
        <w:rPr>
          <w:rFonts w:ascii="宋体" w:hAnsi="宋体" w:cs="Microsoft JhengHei"/>
          <w:b/>
          <w:bCs/>
          <w:kern w:val="0"/>
          <w:szCs w:val="21"/>
          <w:lang w:val="zh-CN"/>
        </w:rPr>
      </w:pPr>
      <w:bookmarkStart w:id="446" w:name="_Toc21622624"/>
      <w:bookmarkStart w:id="447" w:name="_Toc416870628"/>
      <w:bookmarkStart w:id="448" w:name="_Toc66038254"/>
      <w:bookmarkStart w:id="449" w:name="_Toc508279757"/>
      <w:bookmarkStart w:id="450" w:name="_Toc468952835"/>
      <w:bookmarkStart w:id="451" w:name="_Toc66038529"/>
      <w:r>
        <w:rPr>
          <w:rFonts w:hint="eastAsia" w:ascii="宋体" w:hAnsi="宋体" w:cs="Microsoft JhengHei"/>
          <w:b/>
          <w:bCs/>
          <w:kern w:val="0"/>
          <w:szCs w:val="21"/>
          <w:lang w:val="zh-CN"/>
        </w:rPr>
        <w:t>5.  材料和工程设备</w:t>
      </w:r>
      <w:bookmarkEnd w:id="446"/>
      <w:bookmarkEnd w:id="447"/>
      <w:bookmarkEnd w:id="448"/>
      <w:bookmarkEnd w:id="449"/>
      <w:bookmarkEnd w:id="450"/>
      <w:bookmarkEnd w:id="451"/>
    </w:p>
    <w:p>
      <w:pPr>
        <w:topLinePunct/>
        <w:spacing w:line="360" w:lineRule="auto"/>
        <w:jc w:val="left"/>
        <w:outlineLvl w:val="2"/>
        <w:rPr>
          <w:rFonts w:ascii="宋体" w:hAnsi="宋体" w:cs="宋体"/>
          <w:kern w:val="0"/>
          <w:szCs w:val="21"/>
          <w:lang w:val="zh-CN"/>
        </w:rPr>
      </w:pPr>
      <w:bookmarkStart w:id="452" w:name="_Toc66038255"/>
      <w:bookmarkStart w:id="453" w:name="_Toc21622625"/>
      <w:bookmarkStart w:id="454" w:name="_Toc66038530"/>
      <w:r>
        <w:rPr>
          <w:rFonts w:hint="eastAsia" w:ascii="宋体" w:hAnsi="宋体" w:cs="宋体"/>
          <w:kern w:val="0"/>
          <w:szCs w:val="21"/>
          <w:lang w:val="zh-CN"/>
        </w:rPr>
        <w:t>5.2 发包人提供的材料和工程设备</w:t>
      </w:r>
      <w:bookmarkEnd w:id="452"/>
      <w:bookmarkEnd w:id="453"/>
      <w:bookmarkEnd w:id="454"/>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删去本款全文，并代之以：发包人不提供材料和工程设备。</w:t>
      </w:r>
    </w:p>
    <w:p>
      <w:pPr>
        <w:topLinePunct/>
        <w:spacing w:line="360" w:lineRule="auto"/>
        <w:jc w:val="left"/>
        <w:outlineLvl w:val="1"/>
        <w:rPr>
          <w:rFonts w:ascii="宋体" w:hAnsi="宋体" w:cs="Microsoft JhengHei"/>
          <w:b/>
          <w:bCs/>
          <w:kern w:val="0"/>
          <w:szCs w:val="21"/>
          <w:lang w:val="zh-CN"/>
        </w:rPr>
      </w:pPr>
      <w:bookmarkStart w:id="455" w:name="_Toc222033883"/>
      <w:bookmarkStart w:id="456" w:name="_Toc222031034"/>
      <w:bookmarkStart w:id="457" w:name="_Toc468952836"/>
      <w:bookmarkStart w:id="458" w:name="_Toc222032701"/>
      <w:bookmarkStart w:id="459" w:name="_Toc229305392"/>
      <w:bookmarkStart w:id="460" w:name="_Toc221951166"/>
      <w:bookmarkStart w:id="461" w:name="_Toc416870629"/>
      <w:bookmarkStart w:id="462" w:name="_Toc66038256"/>
      <w:bookmarkStart w:id="463" w:name="_Toc508279758"/>
      <w:bookmarkStart w:id="464" w:name="_Toc21622626"/>
      <w:bookmarkStart w:id="465" w:name="_Toc66038531"/>
      <w:bookmarkStart w:id="466" w:name="_Toc222029532"/>
      <w:r>
        <w:rPr>
          <w:rFonts w:hint="eastAsia" w:ascii="宋体" w:hAnsi="宋体" w:cs="Microsoft JhengHei"/>
          <w:b/>
          <w:bCs/>
          <w:kern w:val="0"/>
          <w:szCs w:val="21"/>
          <w:lang w:val="zh-CN"/>
        </w:rPr>
        <w:t>6.  施工设备和临时设施</w:t>
      </w:r>
      <w:bookmarkEnd w:id="455"/>
      <w:bookmarkEnd w:id="456"/>
      <w:bookmarkEnd w:id="457"/>
      <w:bookmarkEnd w:id="458"/>
      <w:bookmarkEnd w:id="459"/>
      <w:bookmarkEnd w:id="460"/>
      <w:bookmarkEnd w:id="461"/>
      <w:bookmarkEnd w:id="462"/>
      <w:bookmarkEnd w:id="463"/>
      <w:bookmarkEnd w:id="464"/>
      <w:bookmarkEnd w:id="465"/>
      <w:bookmarkEnd w:id="466"/>
    </w:p>
    <w:p>
      <w:pPr>
        <w:topLinePunct/>
        <w:spacing w:line="360" w:lineRule="auto"/>
        <w:jc w:val="left"/>
        <w:outlineLvl w:val="2"/>
        <w:rPr>
          <w:rFonts w:ascii="宋体" w:hAnsi="宋体" w:cs="宋体"/>
          <w:kern w:val="0"/>
          <w:szCs w:val="21"/>
          <w:lang w:val="zh-CN"/>
        </w:rPr>
      </w:pPr>
      <w:bookmarkStart w:id="467" w:name="_Toc66038257"/>
      <w:bookmarkStart w:id="468" w:name="_Toc66038532"/>
      <w:bookmarkStart w:id="469" w:name="_Toc21622627"/>
      <w:bookmarkStart w:id="470" w:name="_Toc221951167"/>
      <w:r>
        <w:rPr>
          <w:rFonts w:hint="eastAsia" w:ascii="宋体" w:hAnsi="宋体" w:cs="宋体"/>
          <w:kern w:val="0"/>
          <w:szCs w:val="21"/>
          <w:lang w:val="zh-CN"/>
        </w:rPr>
        <w:t>6.1承包人提供的施工设备和临时设施</w:t>
      </w:r>
      <w:bookmarkEnd w:id="467"/>
      <w:bookmarkEnd w:id="468"/>
      <w:bookmarkEnd w:id="469"/>
      <w:bookmarkEnd w:id="470"/>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6.1.2 承包人修建的临时设施必须在发包人指定的施工用地范围内，费用由承包人自行承担。承包人超出发包人提供的用地范围，由承包人自行办理用地手续，并承担一切费用。</w:t>
      </w:r>
    </w:p>
    <w:p>
      <w:pPr>
        <w:topLinePunct/>
        <w:spacing w:line="360" w:lineRule="auto"/>
        <w:jc w:val="left"/>
        <w:rPr>
          <w:rFonts w:ascii="宋体" w:hAnsi="宋体" w:cs="宋体"/>
          <w:kern w:val="0"/>
          <w:szCs w:val="21"/>
          <w:lang w:val="zh-CN"/>
        </w:rPr>
      </w:pPr>
      <w:r>
        <w:rPr>
          <w:rFonts w:hint="eastAsia" w:ascii="宋体" w:hAnsi="宋体" w:cs="宋体"/>
          <w:szCs w:val="21"/>
        </w:rPr>
        <w:t>6</w:t>
      </w:r>
      <w:r>
        <w:rPr>
          <w:rFonts w:ascii="宋体" w:hAnsi="宋体" w:cs="宋体"/>
          <w:szCs w:val="21"/>
        </w:rPr>
        <w:t>.1.3</w:t>
      </w:r>
      <w:r>
        <w:rPr>
          <w:rFonts w:hint="eastAsia" w:ascii="宋体" w:hAnsi="宋体" w:cs="宋体"/>
          <w:szCs w:val="21"/>
        </w:rPr>
        <w:t>承包人提供的施工设备不能按投标文件所列的时间按期足量完好到场并影响工期或因承包人其他原因导致施工进度滞后时，发包人将指示监理人进行项目切割，由于切割所造成的差价以及因此引起的其他费用的增加应由承包人承担；必要时，发包人还将清退承包人，并报请有关部门予以通报；由于清退而引起的一切经济损失均由承包人承担（其中含承包人的自身损失和发包人需重新寻选承包人、进行工程维护，对施工场地进行植被、尾工价格差异等一系列工期与经济连带损失）。</w:t>
      </w:r>
    </w:p>
    <w:p>
      <w:pPr>
        <w:topLinePunct/>
        <w:spacing w:line="360" w:lineRule="auto"/>
        <w:jc w:val="left"/>
        <w:outlineLvl w:val="2"/>
        <w:rPr>
          <w:rFonts w:ascii="宋体" w:hAnsi="宋体" w:cs="宋体"/>
          <w:kern w:val="0"/>
          <w:szCs w:val="21"/>
          <w:lang w:val="zh-CN"/>
        </w:rPr>
      </w:pPr>
      <w:bookmarkStart w:id="471" w:name="_Toc21622628"/>
      <w:bookmarkStart w:id="472" w:name="_Toc66038533"/>
      <w:bookmarkStart w:id="473" w:name="_Toc66038258"/>
      <w:r>
        <w:rPr>
          <w:rFonts w:hint="eastAsia" w:ascii="宋体" w:hAnsi="宋体" w:cs="宋体"/>
          <w:kern w:val="0"/>
          <w:szCs w:val="21"/>
          <w:lang w:val="zh-CN"/>
        </w:rPr>
        <w:t>6.2  发包人提供的施工设备和临时设施</w:t>
      </w:r>
      <w:bookmarkEnd w:id="471"/>
      <w:bookmarkEnd w:id="472"/>
      <w:bookmarkEnd w:id="473"/>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删去本款全文，并代之以：发包人不提供施工设备和临时设施，所有施工设备和临时设施均由承包人自行采购，并承担一切费用。</w:t>
      </w:r>
    </w:p>
    <w:p>
      <w:pPr>
        <w:topLinePunct/>
        <w:spacing w:line="360" w:lineRule="auto"/>
        <w:jc w:val="left"/>
        <w:outlineLvl w:val="1"/>
        <w:rPr>
          <w:rFonts w:ascii="宋体" w:hAnsi="宋体" w:cs="Microsoft JhengHei"/>
          <w:b/>
          <w:bCs/>
          <w:kern w:val="0"/>
          <w:szCs w:val="21"/>
          <w:lang w:val="zh-CN"/>
        </w:rPr>
      </w:pPr>
      <w:bookmarkStart w:id="474" w:name="_Toc66038534"/>
      <w:bookmarkStart w:id="475" w:name="_Toc468952837"/>
      <w:bookmarkStart w:id="476" w:name="_Toc508279759"/>
      <w:bookmarkStart w:id="477" w:name="_Toc416870630"/>
      <w:bookmarkStart w:id="478" w:name="_Toc21622629"/>
      <w:bookmarkStart w:id="479" w:name="_Toc66038259"/>
      <w:r>
        <w:rPr>
          <w:rFonts w:hint="eastAsia" w:ascii="宋体" w:hAnsi="宋体" w:cs="Microsoft JhengHei"/>
          <w:b/>
          <w:bCs/>
          <w:kern w:val="0"/>
          <w:szCs w:val="21"/>
          <w:lang w:val="zh-CN"/>
        </w:rPr>
        <w:t>7.  交通运输</w:t>
      </w:r>
      <w:bookmarkEnd w:id="474"/>
      <w:bookmarkEnd w:id="475"/>
      <w:bookmarkEnd w:id="476"/>
      <w:bookmarkEnd w:id="477"/>
      <w:bookmarkEnd w:id="478"/>
      <w:bookmarkEnd w:id="479"/>
    </w:p>
    <w:p>
      <w:pPr>
        <w:topLinePunct/>
        <w:spacing w:line="360" w:lineRule="auto"/>
        <w:jc w:val="left"/>
        <w:outlineLvl w:val="2"/>
        <w:rPr>
          <w:rFonts w:ascii="宋体" w:hAnsi="宋体" w:cs="宋体"/>
          <w:kern w:val="0"/>
          <w:szCs w:val="21"/>
          <w:lang w:val="zh-CN"/>
        </w:rPr>
      </w:pPr>
      <w:bookmarkStart w:id="480" w:name="_Toc21622630"/>
      <w:bookmarkStart w:id="481" w:name="_Toc66038535"/>
      <w:bookmarkStart w:id="482" w:name="_Toc66038260"/>
      <w:r>
        <w:rPr>
          <w:rFonts w:hint="eastAsia" w:ascii="宋体" w:hAnsi="宋体" w:cs="宋体"/>
          <w:kern w:val="0"/>
          <w:szCs w:val="21"/>
          <w:lang w:val="zh-CN"/>
        </w:rPr>
        <w:t>7.1 道路通行权和场外设施</w:t>
      </w:r>
      <w:bookmarkEnd w:id="480"/>
      <w:bookmarkEnd w:id="481"/>
      <w:bookmarkEnd w:id="482"/>
    </w:p>
    <w:p>
      <w:pPr>
        <w:topLinePunct/>
        <w:spacing w:line="360" w:lineRule="auto"/>
        <w:ind w:firstLine="420"/>
        <w:jc w:val="left"/>
        <w:rPr>
          <w:rFonts w:ascii="宋体" w:hAnsi="宋体" w:cs="宋体"/>
          <w:kern w:val="0"/>
          <w:szCs w:val="21"/>
          <w:lang w:val="zh-CN"/>
        </w:rPr>
      </w:pPr>
      <w:r>
        <w:rPr>
          <w:rFonts w:hint="eastAsia" w:ascii="宋体" w:hAnsi="宋体" w:cs="宋体"/>
          <w:kern w:val="0"/>
          <w:szCs w:val="21"/>
          <w:lang w:val="zh-CN"/>
        </w:rPr>
        <w:t>道路通行权及场外设施的约定：承包人自行解决，费用自理。</w:t>
      </w:r>
    </w:p>
    <w:p>
      <w:pPr>
        <w:topLinePunct/>
        <w:spacing w:line="360" w:lineRule="auto"/>
        <w:jc w:val="left"/>
        <w:outlineLvl w:val="1"/>
        <w:rPr>
          <w:rFonts w:ascii="宋体" w:hAnsi="宋体" w:cs="Microsoft JhengHei"/>
          <w:b/>
          <w:bCs/>
          <w:kern w:val="0"/>
          <w:szCs w:val="21"/>
          <w:lang w:val="zh-CN"/>
        </w:rPr>
      </w:pPr>
      <w:bookmarkStart w:id="483" w:name="_Toc66038536"/>
      <w:bookmarkStart w:id="484" w:name="_Toc66038261"/>
      <w:r>
        <w:rPr>
          <w:rFonts w:hint="eastAsia" w:ascii="宋体" w:hAnsi="宋体" w:cs="Microsoft JhengHei"/>
          <w:b/>
          <w:bCs/>
          <w:kern w:val="0"/>
          <w:szCs w:val="21"/>
          <w:lang w:val="zh-CN"/>
        </w:rPr>
        <w:t>8</w:t>
      </w:r>
      <w:r>
        <w:rPr>
          <w:rFonts w:ascii="宋体" w:hAnsi="宋体" w:cs="Microsoft JhengHei"/>
          <w:b/>
          <w:bCs/>
          <w:kern w:val="0"/>
          <w:szCs w:val="21"/>
          <w:lang w:val="zh-CN"/>
        </w:rPr>
        <w:t xml:space="preserve">.  </w:t>
      </w:r>
      <w:r>
        <w:rPr>
          <w:rFonts w:hint="eastAsia" w:ascii="宋体" w:hAnsi="宋体" w:cs="Microsoft JhengHei"/>
          <w:b/>
          <w:bCs/>
          <w:kern w:val="0"/>
          <w:szCs w:val="21"/>
          <w:lang w:val="zh-CN"/>
        </w:rPr>
        <w:t>测量放线</w:t>
      </w:r>
      <w:bookmarkEnd w:id="483"/>
      <w:bookmarkEnd w:id="484"/>
    </w:p>
    <w:p>
      <w:pPr>
        <w:topLinePunct/>
        <w:spacing w:line="360" w:lineRule="auto"/>
        <w:jc w:val="left"/>
        <w:rPr>
          <w:rFonts w:ascii="宋体" w:hAnsi="宋体" w:cs="宋体"/>
          <w:b/>
          <w:bCs/>
          <w:kern w:val="0"/>
          <w:szCs w:val="21"/>
          <w:lang w:val="zh-CN"/>
        </w:rPr>
      </w:pPr>
      <w:r>
        <w:rPr>
          <w:rFonts w:hint="eastAsia" w:ascii="宋体" w:hAnsi="宋体" w:cs="宋体"/>
          <w:kern w:val="0"/>
          <w:szCs w:val="21"/>
          <w:lang w:val="zh-CN"/>
        </w:rPr>
        <w:t>8.1.1施工控制网的约定：</w:t>
      </w:r>
      <w:r>
        <w:rPr>
          <w:rFonts w:hint="eastAsia" w:ascii="宋体" w:hAnsi="宋体" w:cs="宋体"/>
          <w:kern w:val="0"/>
          <w:szCs w:val="21"/>
          <w:u w:val="single"/>
          <w:lang w:val="zh-CN"/>
        </w:rPr>
        <w:t>由发包人、设计人提供施工测量基准点、基准线和水准点及其相关资料，承包人自行测设施工控制网，将施测的施工控制网资料提交监理人审批。</w:t>
      </w:r>
    </w:p>
    <w:p>
      <w:pPr>
        <w:topLinePunct/>
        <w:spacing w:line="360" w:lineRule="auto"/>
        <w:jc w:val="left"/>
        <w:outlineLvl w:val="1"/>
        <w:rPr>
          <w:rFonts w:ascii="宋体" w:hAnsi="宋体" w:cs="Microsoft JhengHei"/>
          <w:b/>
          <w:bCs/>
          <w:kern w:val="0"/>
          <w:szCs w:val="21"/>
          <w:lang w:val="zh-CN"/>
        </w:rPr>
      </w:pPr>
      <w:bookmarkStart w:id="485" w:name="_Toc21622631"/>
      <w:bookmarkStart w:id="486" w:name="_Toc416870631"/>
      <w:bookmarkStart w:id="487" w:name="_Toc66038262"/>
      <w:bookmarkStart w:id="488" w:name="_Toc66038537"/>
      <w:bookmarkStart w:id="489" w:name="_Toc468952838"/>
      <w:bookmarkStart w:id="490" w:name="_Toc508279760"/>
      <w:r>
        <w:rPr>
          <w:rFonts w:hint="eastAsia" w:ascii="宋体" w:hAnsi="宋体" w:cs="Microsoft JhengHei"/>
          <w:b/>
          <w:bCs/>
          <w:kern w:val="0"/>
          <w:szCs w:val="21"/>
          <w:lang w:val="zh-CN"/>
        </w:rPr>
        <w:t>9.  施工安全、治安保卫和环境保护</w:t>
      </w:r>
      <w:bookmarkEnd w:id="485"/>
      <w:bookmarkEnd w:id="486"/>
      <w:bookmarkEnd w:id="487"/>
      <w:bookmarkEnd w:id="488"/>
      <w:bookmarkEnd w:id="489"/>
      <w:bookmarkEnd w:id="490"/>
    </w:p>
    <w:p>
      <w:pPr>
        <w:topLinePunct/>
        <w:spacing w:line="360" w:lineRule="auto"/>
        <w:jc w:val="left"/>
        <w:outlineLvl w:val="1"/>
        <w:rPr>
          <w:rFonts w:ascii="宋体" w:hAnsi="宋体" w:cs="宋体"/>
          <w:kern w:val="0"/>
          <w:szCs w:val="21"/>
          <w:lang w:val="zh-CN"/>
        </w:rPr>
      </w:pPr>
      <w:bookmarkStart w:id="491" w:name="_Toc66038263"/>
      <w:bookmarkStart w:id="492" w:name="_Toc66038538"/>
      <w:r>
        <w:rPr>
          <w:rFonts w:hint="eastAsia" w:ascii="宋体" w:hAnsi="宋体" w:cs="宋体"/>
          <w:kern w:val="0"/>
          <w:szCs w:val="21"/>
          <w:lang w:val="zh-CN"/>
        </w:rPr>
        <w:t>9</w:t>
      </w:r>
      <w:r>
        <w:rPr>
          <w:rFonts w:ascii="宋体" w:hAnsi="宋体" w:cs="宋体"/>
          <w:kern w:val="0"/>
          <w:szCs w:val="21"/>
          <w:lang w:val="zh-CN"/>
        </w:rPr>
        <w:t xml:space="preserve">.1 </w:t>
      </w:r>
      <w:r>
        <w:rPr>
          <w:rFonts w:hint="eastAsia" w:ascii="宋体" w:hAnsi="宋体" w:cs="宋体"/>
          <w:kern w:val="0"/>
          <w:szCs w:val="21"/>
          <w:lang w:val="zh-CN"/>
        </w:rPr>
        <w:t>发包人的施工安全责任</w:t>
      </w:r>
      <w:bookmarkEnd w:id="491"/>
      <w:bookmarkEnd w:id="492"/>
    </w:p>
    <w:p>
      <w:pPr>
        <w:topLinePunct/>
        <w:spacing w:line="360" w:lineRule="auto"/>
        <w:jc w:val="left"/>
        <w:outlineLvl w:val="1"/>
        <w:rPr>
          <w:rFonts w:ascii="宋体" w:hAnsi="宋体" w:cs="宋体"/>
          <w:kern w:val="0"/>
          <w:szCs w:val="21"/>
          <w:lang w:val="zh-CN"/>
        </w:rPr>
      </w:pPr>
      <w:bookmarkStart w:id="493" w:name="_Toc66038264"/>
      <w:bookmarkStart w:id="494" w:name="_Toc66038539"/>
      <w:r>
        <w:rPr>
          <w:rFonts w:hint="eastAsia" w:ascii="宋体" w:hAnsi="宋体" w:cs="宋体"/>
          <w:kern w:val="0"/>
          <w:szCs w:val="21"/>
          <w:lang w:val="zh-CN"/>
        </w:rPr>
        <w:t>9.1.4 发包人提供</w:t>
      </w:r>
      <w:r>
        <w:rPr>
          <w:rFonts w:hint="eastAsia" w:ascii="宋体" w:hAnsi="宋体" w:cs="宋体"/>
          <w:kern w:val="0"/>
          <w:szCs w:val="21"/>
          <w:u w:val="single"/>
          <w:lang w:val="zh-CN"/>
        </w:rPr>
        <w:t xml:space="preserve"> 地下工程、地下管线、地下洞穴、地下墓葬以及气象、水文观测  </w:t>
      </w:r>
      <w:r>
        <w:rPr>
          <w:rFonts w:hint="eastAsia" w:ascii="宋体" w:hAnsi="宋体" w:cs="宋体"/>
          <w:kern w:val="0"/>
          <w:szCs w:val="21"/>
          <w:lang w:val="zh-CN"/>
        </w:rPr>
        <w:t>资料，其余资料由承包人负责收集。</w:t>
      </w:r>
      <w:bookmarkEnd w:id="493"/>
      <w:bookmarkEnd w:id="494"/>
    </w:p>
    <w:p>
      <w:pPr>
        <w:topLinePunct/>
        <w:spacing w:line="360" w:lineRule="auto"/>
        <w:jc w:val="left"/>
        <w:outlineLvl w:val="2"/>
        <w:rPr>
          <w:rFonts w:ascii="宋体" w:hAnsi="宋体" w:cs="宋体"/>
          <w:kern w:val="0"/>
          <w:szCs w:val="21"/>
          <w:lang w:val="zh-CN"/>
        </w:rPr>
      </w:pPr>
      <w:bookmarkStart w:id="495" w:name="_Toc66038540"/>
      <w:bookmarkStart w:id="496" w:name="_Toc21622632"/>
      <w:bookmarkStart w:id="497" w:name="_Toc66038265"/>
      <w:r>
        <w:rPr>
          <w:rFonts w:hint="eastAsia" w:ascii="宋体" w:hAnsi="宋体" w:cs="宋体"/>
          <w:kern w:val="0"/>
          <w:szCs w:val="21"/>
          <w:lang w:val="zh-CN"/>
        </w:rPr>
        <w:t>9.2 承包人的施工安全责任</w:t>
      </w:r>
      <w:bookmarkEnd w:id="495"/>
      <w:bookmarkEnd w:id="496"/>
      <w:bookmarkEnd w:id="497"/>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9.2.12补充：专项施工方案编制</w:t>
      </w:r>
      <w:r>
        <w:rPr>
          <w:rFonts w:hint="eastAsia" w:ascii="宋体" w:hAnsi="宋体" w:cs="宋体"/>
          <w:kern w:val="0"/>
          <w:szCs w:val="21"/>
          <w:u w:val="single"/>
          <w:lang w:val="zh-CN"/>
        </w:rPr>
        <w:t>按现行的国家法律法规的规定执行</w:t>
      </w:r>
      <w:r>
        <w:rPr>
          <w:rFonts w:hint="eastAsia" w:ascii="宋体" w:hAnsi="宋体" w:cs="宋体"/>
          <w:kern w:val="0"/>
          <w:szCs w:val="21"/>
          <w:lang w:val="zh-CN"/>
        </w:rPr>
        <w:t>。</w:t>
      </w:r>
    </w:p>
    <w:p>
      <w:pPr>
        <w:topLinePunct/>
        <w:spacing w:line="360" w:lineRule="auto"/>
        <w:jc w:val="left"/>
        <w:outlineLvl w:val="2"/>
        <w:rPr>
          <w:rFonts w:ascii="宋体" w:hAnsi="宋体" w:cs="宋体"/>
          <w:kern w:val="0"/>
          <w:szCs w:val="21"/>
          <w:lang w:val="zh-CN"/>
        </w:rPr>
      </w:pPr>
      <w:bookmarkStart w:id="498" w:name="_Toc66038266"/>
      <w:bookmarkStart w:id="499" w:name="_Toc66038541"/>
      <w:bookmarkStart w:id="500" w:name="_Toc21622633"/>
      <w:r>
        <w:rPr>
          <w:rFonts w:hint="eastAsia" w:ascii="宋体" w:hAnsi="宋体" w:cs="宋体"/>
          <w:kern w:val="0"/>
          <w:szCs w:val="21"/>
          <w:lang w:val="zh-CN"/>
        </w:rPr>
        <w:t>9.7 文明工地</w:t>
      </w:r>
      <w:bookmarkEnd w:id="498"/>
      <w:bookmarkEnd w:id="499"/>
      <w:bookmarkEnd w:id="500"/>
    </w:p>
    <w:p>
      <w:pPr>
        <w:topLinePunct/>
        <w:spacing w:line="360" w:lineRule="auto"/>
        <w:jc w:val="left"/>
        <w:rPr>
          <w:rFonts w:ascii="宋体" w:hAnsi="宋体" w:cs="宋体"/>
          <w:kern w:val="0"/>
          <w:szCs w:val="21"/>
          <w:lang w:val="zh-CN"/>
        </w:rPr>
      </w:pPr>
      <w:r>
        <w:rPr>
          <w:rFonts w:ascii="宋体" w:hAnsi="宋体" w:cs="宋体"/>
          <w:kern w:val="0"/>
          <w:szCs w:val="21"/>
          <w:lang w:val="zh-CN"/>
        </w:rPr>
        <w:t>9.7.1</w:t>
      </w:r>
      <w:r>
        <w:rPr>
          <w:rFonts w:hint="eastAsia" w:ascii="宋体" w:hAnsi="宋体" w:cs="宋体"/>
          <w:kern w:val="0"/>
          <w:szCs w:val="21"/>
          <w:lang w:val="zh-CN"/>
        </w:rPr>
        <w:t>本合同文明工地的约定：发包人按国家、省、市的有关规定，负责建</w:t>
      </w:r>
      <w:r>
        <w:rPr>
          <w:rFonts w:ascii="宋体" w:hAnsi="宋体" w:cs="宋体"/>
          <w:kern w:val="0"/>
          <w:szCs w:val="21"/>
          <w:lang w:val="zh-CN"/>
        </w:rPr>
        <w:t>立创建文明建设工地的组织机构</w:t>
      </w:r>
      <w:r>
        <w:rPr>
          <w:rFonts w:hint="eastAsia" w:ascii="宋体" w:hAnsi="宋体" w:cs="宋体"/>
          <w:kern w:val="0"/>
          <w:szCs w:val="21"/>
          <w:lang w:val="zh-CN"/>
        </w:rPr>
        <w:t>，</w:t>
      </w:r>
      <w:r>
        <w:rPr>
          <w:rFonts w:ascii="宋体" w:hAnsi="宋体" w:cs="宋体"/>
          <w:kern w:val="0"/>
          <w:szCs w:val="21"/>
          <w:lang w:val="zh-CN"/>
        </w:rPr>
        <w:t>制定创建文明建设工地的规划和办法</w:t>
      </w:r>
      <w:r>
        <w:rPr>
          <w:rFonts w:hint="eastAsia" w:ascii="宋体" w:hAnsi="宋体" w:cs="宋体"/>
          <w:kern w:val="0"/>
          <w:szCs w:val="21"/>
          <w:lang w:val="zh-CN"/>
        </w:rPr>
        <w:t>。</w:t>
      </w:r>
      <w:r>
        <w:rPr>
          <w:rFonts w:ascii="宋体" w:hAnsi="宋体" w:cs="宋体"/>
          <w:kern w:val="0"/>
          <w:szCs w:val="21"/>
          <w:lang w:val="zh-CN"/>
        </w:rPr>
        <w:tab/>
      </w:r>
    </w:p>
    <w:p>
      <w:pPr>
        <w:topLinePunct/>
        <w:spacing w:line="360" w:lineRule="auto"/>
        <w:jc w:val="left"/>
        <w:outlineLvl w:val="1"/>
        <w:rPr>
          <w:rFonts w:ascii="宋体" w:hAnsi="宋体" w:cs="Microsoft JhengHei"/>
          <w:b/>
          <w:bCs/>
          <w:kern w:val="0"/>
          <w:szCs w:val="21"/>
          <w:lang w:val="zh-CN"/>
        </w:rPr>
      </w:pPr>
      <w:bookmarkStart w:id="501" w:name="_Toc416870632"/>
      <w:bookmarkStart w:id="502" w:name="_Toc468952839"/>
      <w:bookmarkStart w:id="503" w:name="_Toc21622634"/>
      <w:bookmarkStart w:id="504" w:name="_Toc508279761"/>
      <w:bookmarkStart w:id="505" w:name="_Toc66038542"/>
      <w:bookmarkStart w:id="506" w:name="_Toc66038267"/>
      <w:r>
        <w:rPr>
          <w:rFonts w:ascii="宋体" w:hAnsi="宋体" w:cs="Microsoft JhengHei"/>
          <w:b/>
          <w:bCs/>
          <w:kern w:val="0"/>
          <w:szCs w:val="21"/>
          <w:lang w:val="zh-CN"/>
        </w:rPr>
        <w:t>11</w:t>
      </w:r>
      <w:r>
        <w:rPr>
          <w:rFonts w:hint="eastAsia" w:ascii="宋体" w:hAnsi="宋体" w:cs="Microsoft JhengHei"/>
          <w:b/>
          <w:bCs/>
          <w:kern w:val="0"/>
          <w:szCs w:val="21"/>
          <w:lang w:val="zh-CN"/>
        </w:rPr>
        <w:t>. 开工和竣工（完工）</w:t>
      </w:r>
      <w:bookmarkEnd w:id="501"/>
      <w:bookmarkEnd w:id="502"/>
      <w:bookmarkEnd w:id="503"/>
      <w:bookmarkEnd w:id="504"/>
      <w:bookmarkEnd w:id="505"/>
      <w:bookmarkEnd w:id="506"/>
    </w:p>
    <w:p>
      <w:pPr>
        <w:topLinePunct/>
        <w:spacing w:line="360" w:lineRule="auto"/>
        <w:jc w:val="left"/>
        <w:outlineLvl w:val="2"/>
        <w:rPr>
          <w:rFonts w:ascii="宋体" w:hAnsi="宋体" w:cs="宋体"/>
          <w:kern w:val="0"/>
          <w:szCs w:val="21"/>
          <w:lang w:val="zh-CN"/>
        </w:rPr>
      </w:pPr>
      <w:bookmarkStart w:id="507" w:name="_Toc66038268"/>
      <w:bookmarkStart w:id="508" w:name="_Toc66038543"/>
      <w:bookmarkStart w:id="509" w:name="_Toc21622635"/>
      <w:r>
        <w:rPr>
          <w:rFonts w:hint="eastAsia" w:ascii="宋体" w:hAnsi="宋体" w:cs="宋体"/>
          <w:kern w:val="0"/>
          <w:szCs w:val="21"/>
          <w:lang w:val="zh-CN"/>
        </w:rPr>
        <w:t>11.3  发包人的工期延误</w:t>
      </w:r>
      <w:bookmarkEnd w:id="507"/>
      <w:bookmarkEnd w:id="508"/>
      <w:bookmarkEnd w:id="509"/>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由于发包人原因造成工期延误，工期可适当顺延</w:t>
      </w:r>
      <w:r>
        <w:rPr>
          <w:rFonts w:hint="eastAsia" w:ascii="宋体" w:hAnsi="宋体" w:cs="宋体"/>
          <w:kern w:val="0"/>
          <w:szCs w:val="21"/>
          <w:lang w:val="zh-CN"/>
        </w:rPr>
        <w:t>。遇到上述情况时承包人应对其投入资源及施工计划进行合理调配</w:t>
      </w:r>
      <w:r>
        <w:rPr>
          <w:rFonts w:ascii="宋体" w:hAnsi="宋体" w:cs="宋体"/>
          <w:kern w:val="0"/>
          <w:szCs w:val="21"/>
          <w:lang w:val="zh-CN"/>
        </w:rPr>
        <w:t>，</w:t>
      </w:r>
      <w:r>
        <w:rPr>
          <w:rFonts w:hint="eastAsia" w:ascii="宋体" w:hAnsi="宋体" w:cs="宋体"/>
          <w:kern w:val="0"/>
          <w:szCs w:val="21"/>
          <w:lang w:val="zh-CN"/>
        </w:rPr>
        <w:t>发包人不支付</w:t>
      </w:r>
      <w:r>
        <w:rPr>
          <w:rFonts w:ascii="宋体" w:hAnsi="宋体" w:cs="宋体"/>
          <w:kern w:val="0"/>
          <w:szCs w:val="21"/>
          <w:lang w:val="zh-CN"/>
        </w:rPr>
        <w:t>相应的费用</w:t>
      </w:r>
      <w:r>
        <w:rPr>
          <w:rFonts w:hint="eastAsia" w:ascii="宋体" w:hAnsi="宋体" w:cs="宋体"/>
          <w:kern w:val="0"/>
          <w:szCs w:val="21"/>
          <w:lang w:val="zh-CN"/>
        </w:rPr>
        <w:t>和利润补（</w:t>
      </w:r>
      <w:r>
        <w:rPr>
          <w:rFonts w:ascii="宋体" w:hAnsi="宋体" w:cs="宋体"/>
          <w:kern w:val="0"/>
          <w:szCs w:val="21"/>
          <w:lang w:val="zh-CN"/>
        </w:rPr>
        <w:t>赔</w:t>
      </w:r>
      <w:r>
        <w:rPr>
          <w:rFonts w:hint="eastAsia" w:ascii="宋体" w:hAnsi="宋体" w:cs="宋体"/>
          <w:kern w:val="0"/>
          <w:szCs w:val="21"/>
          <w:lang w:val="zh-CN"/>
        </w:rPr>
        <w:t>）</w:t>
      </w:r>
      <w:r>
        <w:rPr>
          <w:rFonts w:ascii="宋体" w:hAnsi="宋体" w:cs="宋体"/>
          <w:kern w:val="0"/>
          <w:szCs w:val="21"/>
          <w:lang w:val="zh-CN"/>
        </w:rPr>
        <w:t>偿。</w:t>
      </w:r>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1</w:t>
      </w:r>
      <w:r>
        <w:rPr>
          <w:rFonts w:ascii="宋体" w:hAnsi="宋体" w:cs="宋体"/>
          <w:kern w:val="0"/>
          <w:szCs w:val="21"/>
          <w:lang w:val="zh-CN"/>
        </w:rPr>
        <w:t xml:space="preserve">1.4  </w:t>
      </w:r>
      <w:r>
        <w:rPr>
          <w:rFonts w:hint="eastAsia" w:ascii="宋体" w:hAnsi="宋体" w:cs="宋体"/>
          <w:kern w:val="0"/>
          <w:szCs w:val="21"/>
          <w:lang w:val="zh-CN"/>
        </w:rPr>
        <w:t>异常恶劣的气候条件</w:t>
      </w:r>
    </w:p>
    <w:p>
      <w:pPr>
        <w:topLinePunct/>
        <w:spacing w:line="360" w:lineRule="auto"/>
        <w:ind w:firstLine="480"/>
        <w:jc w:val="left"/>
        <w:rPr>
          <w:rFonts w:ascii="宋体" w:hAnsi="宋体" w:cs="宋体"/>
          <w:kern w:val="0"/>
          <w:szCs w:val="21"/>
          <w:lang w:val="zh-CN"/>
        </w:rPr>
      </w:pPr>
      <w:bookmarkStart w:id="510" w:name="_Toc221951191"/>
      <w:r>
        <w:rPr>
          <w:rFonts w:hint="eastAsia" w:ascii="宋体" w:hAnsi="宋体" w:cs="宋体"/>
          <w:kern w:val="0"/>
          <w:szCs w:val="21"/>
          <w:lang w:val="zh-CN"/>
        </w:rPr>
        <w:t>11.4.3 本合同工程界定异常恶劣气候条件的范围为：</w:t>
      </w:r>
      <w:bookmarkEnd w:id="510"/>
    </w:p>
    <w:p>
      <w:pPr>
        <w:topLinePunct/>
        <w:spacing w:line="360" w:lineRule="auto"/>
        <w:ind w:firstLine="480"/>
        <w:jc w:val="left"/>
        <w:rPr>
          <w:rFonts w:ascii="宋体" w:hAnsi="宋体" w:cs="宋体"/>
          <w:kern w:val="0"/>
          <w:szCs w:val="21"/>
          <w:lang w:val="zh-CN"/>
        </w:rPr>
      </w:pPr>
      <w:bookmarkStart w:id="511" w:name="_Toc221951192"/>
      <w:r>
        <w:rPr>
          <w:rFonts w:hint="eastAsia" w:ascii="宋体" w:hAnsi="宋体" w:cs="宋体"/>
          <w:kern w:val="0"/>
          <w:szCs w:val="21"/>
          <w:lang w:val="zh-CN"/>
        </w:rPr>
        <w:t>（1）日降雨量大于</w:t>
      </w:r>
      <w:r>
        <w:rPr>
          <w:rFonts w:ascii="宋体" w:hAnsi="宋体" w:cs="宋体"/>
          <w:kern w:val="0"/>
          <w:szCs w:val="21"/>
          <w:lang w:val="zh-CN"/>
        </w:rPr>
        <w:t>50</w:t>
      </w:r>
      <w:r>
        <w:rPr>
          <w:rFonts w:hint="eastAsia" w:ascii="宋体" w:hAnsi="宋体" w:cs="宋体"/>
          <w:kern w:val="0"/>
          <w:szCs w:val="21"/>
          <w:lang w:val="zh-CN"/>
        </w:rPr>
        <w:t>㎜的雨日超过</w:t>
      </w:r>
      <w:r>
        <w:rPr>
          <w:rFonts w:ascii="宋体" w:hAnsi="宋体" w:cs="宋体"/>
          <w:kern w:val="0"/>
          <w:szCs w:val="21"/>
          <w:lang w:val="zh-CN"/>
        </w:rPr>
        <w:t>3</w:t>
      </w:r>
      <w:r>
        <w:rPr>
          <w:rFonts w:hint="eastAsia" w:ascii="宋体" w:hAnsi="宋体" w:cs="宋体"/>
          <w:kern w:val="0"/>
          <w:szCs w:val="21"/>
          <w:lang w:val="zh-CN"/>
        </w:rPr>
        <w:t>天； `</w:t>
      </w:r>
      <w:bookmarkEnd w:id="511"/>
    </w:p>
    <w:p>
      <w:pPr>
        <w:topLinePunct/>
        <w:spacing w:line="360" w:lineRule="auto"/>
        <w:ind w:firstLine="480"/>
        <w:jc w:val="left"/>
        <w:rPr>
          <w:rFonts w:ascii="宋体" w:hAnsi="宋体" w:cs="宋体"/>
          <w:kern w:val="0"/>
          <w:szCs w:val="21"/>
          <w:lang w:val="zh-CN"/>
        </w:rPr>
      </w:pPr>
      <w:bookmarkStart w:id="512" w:name="_Toc221951193"/>
      <w:r>
        <w:rPr>
          <w:rFonts w:hint="eastAsia" w:ascii="宋体" w:hAnsi="宋体" w:cs="宋体"/>
          <w:kern w:val="0"/>
          <w:szCs w:val="21"/>
          <w:lang w:val="zh-CN"/>
        </w:rPr>
        <w:t>（2）风速大于</w:t>
      </w:r>
      <w:r>
        <w:rPr>
          <w:rFonts w:ascii="宋体" w:hAnsi="宋体" w:cs="宋体"/>
          <w:kern w:val="0"/>
          <w:szCs w:val="21"/>
          <w:lang w:val="zh-CN"/>
        </w:rPr>
        <w:t>17.2</w:t>
      </w:r>
      <w:r>
        <w:rPr>
          <w:rFonts w:hint="eastAsia" w:ascii="宋体" w:hAnsi="宋体" w:cs="宋体"/>
          <w:kern w:val="0"/>
          <w:szCs w:val="21"/>
          <w:lang w:val="zh-CN"/>
        </w:rPr>
        <w:t>m/s的</w:t>
      </w:r>
      <w:r>
        <w:rPr>
          <w:rFonts w:ascii="宋体" w:hAnsi="宋体" w:cs="宋体"/>
          <w:kern w:val="0"/>
          <w:szCs w:val="21"/>
          <w:lang w:val="zh-CN"/>
        </w:rPr>
        <w:t>8</w:t>
      </w:r>
      <w:r>
        <w:rPr>
          <w:rFonts w:hint="eastAsia" w:ascii="宋体" w:hAnsi="宋体" w:cs="宋体"/>
          <w:kern w:val="0"/>
          <w:szCs w:val="21"/>
          <w:lang w:val="zh-CN"/>
        </w:rPr>
        <w:t>级以上台风灾害；</w:t>
      </w:r>
      <w:bookmarkEnd w:id="512"/>
    </w:p>
    <w:p>
      <w:pPr>
        <w:topLinePunct/>
        <w:spacing w:line="360" w:lineRule="auto"/>
        <w:ind w:firstLine="480"/>
        <w:jc w:val="left"/>
        <w:rPr>
          <w:rFonts w:ascii="宋体" w:hAnsi="宋体" w:cs="宋体"/>
          <w:kern w:val="0"/>
          <w:szCs w:val="21"/>
          <w:lang w:val="zh-CN"/>
        </w:rPr>
      </w:pPr>
      <w:bookmarkStart w:id="513" w:name="_Toc221951194"/>
      <w:r>
        <w:rPr>
          <w:rFonts w:hint="eastAsia" w:ascii="宋体" w:hAnsi="宋体" w:cs="宋体"/>
          <w:kern w:val="0"/>
          <w:szCs w:val="21"/>
          <w:lang w:val="zh-CN"/>
        </w:rPr>
        <w:t>（3）</w:t>
      </w:r>
      <w:bookmarkEnd w:id="513"/>
      <w:r>
        <w:rPr>
          <w:rFonts w:hint="eastAsia" w:ascii="宋体" w:hAnsi="宋体" w:cs="宋体"/>
          <w:kern w:val="0"/>
          <w:szCs w:val="21"/>
          <w:lang w:val="zh-CN"/>
        </w:rPr>
        <w:t>日气温超过</w:t>
      </w:r>
      <w:r>
        <w:rPr>
          <w:rFonts w:ascii="宋体" w:hAnsi="宋体" w:cs="宋体"/>
          <w:kern w:val="0"/>
          <w:szCs w:val="21"/>
          <w:lang w:val="zh-CN"/>
        </w:rPr>
        <w:t>33</w:t>
      </w:r>
      <w:r>
        <w:rPr>
          <w:rFonts w:hint="eastAsia" w:ascii="宋体" w:hAnsi="宋体" w:cs="宋体"/>
          <w:kern w:val="0"/>
          <w:szCs w:val="21"/>
          <w:lang w:val="zh-CN"/>
        </w:rPr>
        <w:t>℃的高温大于</w:t>
      </w:r>
      <w:r>
        <w:rPr>
          <w:rFonts w:ascii="宋体" w:hAnsi="宋体" w:cs="宋体"/>
          <w:kern w:val="0"/>
          <w:szCs w:val="21"/>
          <w:lang w:val="zh-CN"/>
        </w:rPr>
        <w:t>3</w:t>
      </w:r>
      <w:r>
        <w:rPr>
          <w:rFonts w:hint="eastAsia" w:ascii="宋体" w:hAnsi="宋体" w:cs="宋体"/>
          <w:kern w:val="0"/>
          <w:szCs w:val="21"/>
          <w:lang w:val="zh-CN"/>
        </w:rPr>
        <w:t>天；</w:t>
      </w:r>
    </w:p>
    <w:p>
      <w:pPr>
        <w:topLinePunct/>
        <w:spacing w:line="360" w:lineRule="auto"/>
        <w:ind w:firstLine="480"/>
        <w:jc w:val="left"/>
        <w:rPr>
          <w:rFonts w:ascii="宋体" w:hAnsi="宋体" w:cs="宋体"/>
          <w:kern w:val="0"/>
          <w:szCs w:val="21"/>
          <w:lang w:val="zh-CN"/>
        </w:rPr>
      </w:pPr>
      <w:bookmarkStart w:id="514" w:name="_Toc221951195"/>
      <w:r>
        <w:rPr>
          <w:rFonts w:hint="eastAsia" w:ascii="宋体" w:hAnsi="宋体" w:cs="宋体"/>
          <w:kern w:val="0"/>
          <w:szCs w:val="21"/>
          <w:lang w:val="zh-CN"/>
        </w:rPr>
        <w:t>（4）</w:t>
      </w:r>
      <w:bookmarkEnd w:id="514"/>
      <w:r>
        <w:rPr>
          <w:rFonts w:hint="eastAsia" w:ascii="宋体" w:hAnsi="宋体" w:cs="宋体"/>
          <w:kern w:val="0"/>
          <w:szCs w:val="21"/>
          <w:lang w:val="zh-CN"/>
        </w:rPr>
        <w:t>日气温低于</w:t>
      </w:r>
      <w:r>
        <w:rPr>
          <w:rFonts w:ascii="宋体" w:hAnsi="宋体" w:cs="宋体"/>
          <w:kern w:val="0"/>
          <w:szCs w:val="21"/>
          <w:lang w:val="zh-CN"/>
        </w:rPr>
        <w:t>-30</w:t>
      </w:r>
      <w:r>
        <w:rPr>
          <w:rFonts w:hint="eastAsia" w:ascii="宋体" w:hAnsi="宋体" w:cs="宋体"/>
          <w:kern w:val="0"/>
          <w:szCs w:val="21"/>
          <w:lang w:val="zh-CN"/>
        </w:rPr>
        <w:t xml:space="preserve"> ℃的严寒大于</w:t>
      </w:r>
      <w:r>
        <w:rPr>
          <w:rFonts w:ascii="宋体" w:hAnsi="宋体" w:cs="宋体"/>
          <w:kern w:val="0"/>
          <w:szCs w:val="21"/>
          <w:lang w:val="zh-CN"/>
        </w:rPr>
        <w:t>3</w:t>
      </w:r>
      <w:r>
        <w:rPr>
          <w:rFonts w:hint="eastAsia" w:ascii="宋体" w:hAnsi="宋体" w:cs="宋体"/>
          <w:kern w:val="0"/>
          <w:szCs w:val="21"/>
          <w:lang w:val="zh-CN"/>
        </w:rPr>
        <w:t>天。</w:t>
      </w:r>
    </w:p>
    <w:p>
      <w:pPr>
        <w:topLinePunct/>
        <w:spacing w:line="360" w:lineRule="auto"/>
        <w:ind w:firstLine="480"/>
        <w:jc w:val="left"/>
        <w:rPr>
          <w:rFonts w:ascii="宋体" w:hAnsi="宋体" w:cs="宋体"/>
          <w:kern w:val="0"/>
          <w:szCs w:val="21"/>
          <w:lang w:val="zh-CN"/>
        </w:rPr>
      </w:pPr>
      <w:bookmarkStart w:id="515" w:name="_Toc221951196"/>
      <w:r>
        <w:rPr>
          <w:rFonts w:hint="eastAsia" w:ascii="宋体" w:hAnsi="宋体" w:cs="宋体"/>
          <w:kern w:val="0"/>
          <w:szCs w:val="21"/>
          <w:lang w:val="zh-CN"/>
        </w:rPr>
        <w:t>（5）</w:t>
      </w:r>
      <w:bookmarkEnd w:id="515"/>
      <w:r>
        <w:rPr>
          <w:rFonts w:hint="eastAsia" w:ascii="宋体" w:hAnsi="宋体" w:cs="宋体"/>
          <w:kern w:val="0"/>
          <w:szCs w:val="21"/>
          <w:lang w:val="zh-CN"/>
        </w:rPr>
        <w:t>造成工程损坏的冰雹和大雪灾害：中度冰雹等级，暴雪等级。</w:t>
      </w:r>
    </w:p>
    <w:p>
      <w:pPr>
        <w:topLinePunct/>
        <w:spacing w:line="360" w:lineRule="auto"/>
        <w:ind w:firstLine="480"/>
        <w:jc w:val="left"/>
        <w:rPr>
          <w:rFonts w:ascii="宋体" w:hAnsi="宋体" w:cs="宋体"/>
          <w:kern w:val="0"/>
          <w:szCs w:val="21"/>
          <w:highlight w:val="none"/>
          <w:lang w:val="zh-CN"/>
        </w:rPr>
      </w:pPr>
      <w:bookmarkStart w:id="516" w:name="_Toc221951197"/>
      <w:r>
        <w:rPr>
          <w:rFonts w:hint="eastAsia" w:ascii="宋体" w:hAnsi="宋体" w:cs="宋体"/>
          <w:kern w:val="0"/>
          <w:szCs w:val="21"/>
          <w:lang w:val="zh-CN"/>
        </w:rPr>
        <w:t>（6）其他异常恶劣气候灾害。</w:t>
      </w:r>
      <w:bookmarkEnd w:id="516"/>
    </w:p>
    <w:p>
      <w:pPr>
        <w:topLinePunct/>
        <w:spacing w:line="360" w:lineRule="auto"/>
        <w:jc w:val="left"/>
        <w:outlineLvl w:val="2"/>
        <w:rPr>
          <w:rFonts w:ascii="宋体" w:hAnsi="宋体" w:cs="宋体"/>
          <w:kern w:val="0"/>
          <w:szCs w:val="21"/>
          <w:highlight w:val="none"/>
          <w:lang w:val="zh-CN"/>
        </w:rPr>
      </w:pPr>
      <w:bookmarkStart w:id="517" w:name="_Toc221951198"/>
      <w:bookmarkStart w:id="518" w:name="_Toc66038269"/>
      <w:bookmarkStart w:id="519" w:name="_Toc66038544"/>
      <w:bookmarkStart w:id="520" w:name="_Toc21622636"/>
      <w:r>
        <w:rPr>
          <w:rFonts w:hint="eastAsia" w:ascii="宋体" w:hAnsi="宋体" w:cs="宋体"/>
          <w:kern w:val="0"/>
          <w:szCs w:val="21"/>
          <w:highlight w:val="none"/>
          <w:lang w:val="zh-CN"/>
        </w:rPr>
        <w:t>11.5  承包人工期延误</w:t>
      </w:r>
      <w:bookmarkEnd w:id="517"/>
      <w:bookmarkEnd w:id="518"/>
      <w:bookmarkEnd w:id="519"/>
      <w:bookmarkEnd w:id="520"/>
      <w:r>
        <w:rPr>
          <w:rFonts w:hint="eastAsia" w:ascii="宋体" w:hAnsi="宋体" w:cs="宋体"/>
          <w:kern w:val="0"/>
          <w:szCs w:val="21"/>
          <w:highlight w:val="none"/>
          <w:lang w:val="zh-CN"/>
        </w:rPr>
        <w:t xml:space="preserve"> </w:t>
      </w:r>
    </w:p>
    <w:p>
      <w:pPr>
        <w:topLinePunct/>
        <w:spacing w:line="360" w:lineRule="auto"/>
        <w:jc w:val="left"/>
        <w:rPr>
          <w:rFonts w:ascii="宋体" w:hAnsi="宋体" w:cs="宋体"/>
          <w:bCs/>
          <w:kern w:val="0"/>
          <w:szCs w:val="21"/>
          <w:highlight w:val="none"/>
          <w:lang w:val="zh-CN"/>
        </w:rPr>
      </w:pPr>
      <w:bookmarkStart w:id="521" w:name="_Toc221951200"/>
      <w:r>
        <w:rPr>
          <w:rFonts w:hint="eastAsia" w:ascii="宋体" w:hAnsi="宋体" w:cs="宋体"/>
          <w:bCs/>
          <w:kern w:val="0"/>
          <w:szCs w:val="21"/>
          <w:highlight w:val="none"/>
          <w:lang w:val="zh-CN"/>
        </w:rPr>
        <w:t>（1）逾期完工违约金表</w:t>
      </w:r>
      <w:r>
        <w:rPr>
          <w:rFonts w:ascii="宋体" w:hAnsi="宋体" w:cs="宋体"/>
          <w:bCs/>
          <w:kern w:val="0"/>
          <w:szCs w:val="21"/>
          <w:highlight w:val="none"/>
          <w:lang w:val="zh-CN"/>
        </w:rPr>
        <w:t>(</w:t>
      </w:r>
      <w:r>
        <w:rPr>
          <w:rFonts w:hint="eastAsia" w:ascii="宋体" w:hAnsi="宋体" w:cs="宋体"/>
          <w:bCs/>
          <w:kern w:val="0"/>
          <w:szCs w:val="21"/>
          <w:highlight w:val="none"/>
          <w:lang w:val="zh-CN"/>
        </w:rPr>
        <w:t>参考格式</w:t>
      </w:r>
      <w:r>
        <w:rPr>
          <w:rFonts w:ascii="宋体" w:hAnsi="宋体" w:cs="宋体"/>
          <w:bCs/>
          <w:kern w:val="0"/>
          <w:szCs w:val="21"/>
          <w:highlight w:val="none"/>
          <w:lang w:val="zh-CN"/>
        </w:rPr>
        <w:t>)</w:t>
      </w:r>
      <w:bookmarkEnd w:id="521"/>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84"/>
        <w:gridCol w:w="2163"/>
        <w:gridCol w:w="1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noWrap w:val="0"/>
            <w:vAlign w:val="center"/>
          </w:tcPr>
          <w:p>
            <w:pPr>
              <w:topLinePunct/>
              <w:jc w:val="center"/>
              <w:rPr>
                <w:rFonts w:ascii="宋体" w:hAnsi="宋体" w:cs="宋体"/>
                <w:kern w:val="0"/>
                <w:szCs w:val="21"/>
                <w:highlight w:val="none"/>
                <w:lang w:val="zh-CN"/>
              </w:rPr>
            </w:pPr>
            <w:bookmarkStart w:id="522" w:name="_Toc221951201"/>
            <w:r>
              <w:rPr>
                <w:rFonts w:hint="eastAsia" w:ascii="宋体" w:hAnsi="宋体" w:cs="宋体"/>
                <w:kern w:val="0"/>
                <w:szCs w:val="21"/>
                <w:highlight w:val="none"/>
                <w:lang w:val="zh-CN"/>
              </w:rPr>
              <w:t>序号</w:t>
            </w:r>
            <w:bookmarkEnd w:id="522"/>
          </w:p>
        </w:tc>
        <w:tc>
          <w:tcPr>
            <w:tcW w:w="2784" w:type="dxa"/>
            <w:noWrap w:val="0"/>
            <w:vAlign w:val="center"/>
          </w:tcPr>
          <w:p>
            <w:pPr>
              <w:topLinePunct/>
              <w:jc w:val="center"/>
              <w:rPr>
                <w:rFonts w:ascii="宋体" w:hAnsi="宋体" w:cs="宋体"/>
                <w:kern w:val="0"/>
                <w:szCs w:val="21"/>
                <w:highlight w:val="none"/>
                <w:lang w:val="zh-CN"/>
              </w:rPr>
            </w:pPr>
            <w:bookmarkStart w:id="523" w:name="_Toc221951202"/>
            <w:r>
              <w:rPr>
                <w:rFonts w:hint="eastAsia" w:ascii="宋体" w:hAnsi="宋体" w:cs="宋体"/>
                <w:kern w:val="0"/>
                <w:szCs w:val="21"/>
                <w:highlight w:val="none"/>
                <w:lang w:val="zh-CN"/>
              </w:rPr>
              <w:t>项目及其说明</w:t>
            </w:r>
            <w:bookmarkEnd w:id="523"/>
          </w:p>
        </w:tc>
        <w:tc>
          <w:tcPr>
            <w:tcW w:w="2163" w:type="dxa"/>
            <w:noWrap w:val="0"/>
            <w:vAlign w:val="center"/>
          </w:tcPr>
          <w:p>
            <w:pPr>
              <w:topLinePunct/>
              <w:jc w:val="center"/>
              <w:rPr>
                <w:rFonts w:ascii="宋体" w:hAnsi="宋体" w:cs="宋体"/>
                <w:kern w:val="0"/>
                <w:szCs w:val="21"/>
                <w:highlight w:val="none"/>
                <w:lang w:val="zh-CN"/>
              </w:rPr>
            </w:pPr>
            <w:bookmarkStart w:id="524" w:name="_Toc221951203"/>
            <w:r>
              <w:rPr>
                <w:rFonts w:hint="eastAsia" w:ascii="宋体" w:hAnsi="宋体" w:cs="宋体"/>
                <w:kern w:val="0"/>
                <w:szCs w:val="21"/>
                <w:highlight w:val="none"/>
                <w:lang w:val="zh-CN"/>
              </w:rPr>
              <w:t>要求完工日期</w:t>
            </w:r>
            <w:bookmarkEnd w:id="524"/>
          </w:p>
        </w:tc>
        <w:tc>
          <w:tcPr>
            <w:tcW w:w="1770" w:type="dxa"/>
            <w:noWrap w:val="0"/>
            <w:vAlign w:val="center"/>
          </w:tcPr>
          <w:p>
            <w:pPr>
              <w:topLinePunct/>
              <w:jc w:val="center"/>
              <w:rPr>
                <w:rFonts w:ascii="宋体" w:hAnsi="宋体" w:cs="宋体"/>
                <w:kern w:val="0"/>
                <w:szCs w:val="21"/>
                <w:highlight w:val="none"/>
                <w:lang w:val="zh-CN"/>
              </w:rPr>
            </w:pPr>
            <w:bookmarkStart w:id="525" w:name="_Toc221951204"/>
            <w:r>
              <w:rPr>
                <w:rFonts w:hint="eastAsia" w:ascii="宋体" w:hAnsi="宋体" w:cs="宋体"/>
                <w:kern w:val="0"/>
                <w:szCs w:val="21"/>
                <w:highlight w:val="none"/>
                <w:lang w:val="zh-CN"/>
              </w:rPr>
              <w:t>违约金(元/天)</w:t>
            </w:r>
            <w:bookmarkEnd w:id="52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noWrap w:val="0"/>
            <w:vAlign w:val="center"/>
          </w:tcPr>
          <w:p>
            <w:pPr>
              <w:topLinePunct/>
              <w:jc w:val="center"/>
              <w:rPr>
                <w:rFonts w:ascii="宋体" w:hAnsi="宋体" w:cs="宋体"/>
                <w:kern w:val="0"/>
                <w:szCs w:val="21"/>
                <w:highlight w:val="none"/>
                <w:lang w:val="zh-CN"/>
              </w:rPr>
            </w:pPr>
            <w:r>
              <w:rPr>
                <w:rFonts w:hint="eastAsia" w:ascii="宋体" w:hAnsi="宋体" w:cs="宋体"/>
                <w:kern w:val="0"/>
                <w:szCs w:val="21"/>
                <w:highlight w:val="none"/>
                <w:lang w:val="zh-CN"/>
              </w:rPr>
              <w:t>1</w:t>
            </w:r>
          </w:p>
        </w:tc>
        <w:tc>
          <w:tcPr>
            <w:tcW w:w="2784" w:type="dxa"/>
            <w:noWrap w:val="0"/>
            <w:vAlign w:val="center"/>
          </w:tcPr>
          <w:p>
            <w:pPr>
              <w:topLinePunct/>
              <w:jc w:val="center"/>
              <w:rPr>
                <w:rFonts w:ascii="宋体" w:hAnsi="宋体" w:cs="宋体"/>
                <w:kern w:val="0"/>
                <w:szCs w:val="21"/>
                <w:highlight w:val="none"/>
                <w:lang w:val="zh-CN"/>
              </w:rPr>
            </w:pPr>
            <w:r>
              <w:rPr>
                <w:rFonts w:hint="eastAsia" w:ascii="宋体" w:hAnsi="宋体" w:cs="宋体"/>
                <w:kern w:val="0"/>
                <w:szCs w:val="21"/>
                <w:highlight w:val="none"/>
                <w:lang w:val="zh-CN"/>
              </w:rPr>
              <w:t>合同项目全部完工</w:t>
            </w:r>
          </w:p>
        </w:tc>
        <w:tc>
          <w:tcPr>
            <w:tcW w:w="2163" w:type="dxa"/>
            <w:noWrap w:val="0"/>
            <w:vAlign w:val="center"/>
          </w:tcPr>
          <w:p>
            <w:pPr>
              <w:topLinePunct/>
              <w:rPr>
                <w:rFonts w:hint="eastAsia" w:ascii="宋体" w:hAnsi="宋体" w:cs="宋体"/>
                <w:kern w:val="0"/>
                <w:szCs w:val="21"/>
                <w:highlight w:val="none"/>
                <w:lang w:val="zh-CN"/>
              </w:rPr>
            </w:pPr>
            <w:r>
              <w:rPr>
                <w:rFonts w:hint="eastAsia" w:ascii="宋体" w:hAnsi="宋体" w:cs="宋体"/>
                <w:kern w:val="0"/>
                <w:szCs w:val="21"/>
                <w:highlight w:val="none"/>
                <w:lang w:val="zh-CN"/>
              </w:rPr>
              <w:t xml:space="preserve">   直接写日期</w:t>
            </w:r>
          </w:p>
        </w:tc>
        <w:tc>
          <w:tcPr>
            <w:tcW w:w="1770" w:type="dxa"/>
            <w:noWrap w:val="0"/>
            <w:vAlign w:val="center"/>
          </w:tcPr>
          <w:p>
            <w:pPr>
              <w:topLinePunct/>
              <w:jc w:val="center"/>
              <w:rPr>
                <w:rFonts w:ascii="宋体" w:hAnsi="宋体" w:cs="宋体"/>
                <w:kern w:val="0"/>
                <w:szCs w:val="21"/>
                <w:highlight w:val="none"/>
                <w:lang w:val="zh-CN"/>
              </w:rPr>
            </w:pPr>
            <w:r>
              <w:rPr>
                <w:rFonts w:hint="eastAsia" w:ascii="宋体" w:hAnsi="宋体" w:cs="宋体"/>
                <w:kern w:val="0"/>
                <w:szCs w:val="21"/>
                <w:highlight w:val="none"/>
                <w:lang w:val="en-US" w:eastAsia="zh-CN"/>
              </w:rPr>
              <w:t>2</w:t>
            </w:r>
            <w:r>
              <w:rPr>
                <w:rFonts w:ascii="宋体" w:hAnsi="宋体" w:cs="宋体"/>
                <w:kern w:val="0"/>
                <w:szCs w:val="21"/>
                <w:highlight w:val="none"/>
                <w:lang w:val="zh-CN"/>
              </w:rPr>
              <w:t>0</w:t>
            </w:r>
            <w:r>
              <w:rPr>
                <w:rFonts w:hint="eastAsia" w:ascii="宋体" w:hAnsi="宋体" w:cs="宋体"/>
                <w:kern w:val="0"/>
                <w:szCs w:val="21"/>
                <w:highlight w:val="none"/>
                <w:lang w:val="zh-CN"/>
              </w:rPr>
              <w:t>000</w:t>
            </w:r>
          </w:p>
        </w:tc>
      </w:tr>
    </w:tbl>
    <w:p>
      <w:pPr>
        <w:topLinePunct/>
        <w:spacing w:line="360" w:lineRule="auto"/>
        <w:jc w:val="left"/>
        <w:rPr>
          <w:rFonts w:ascii="宋体" w:hAnsi="宋体" w:cs="宋体"/>
          <w:kern w:val="0"/>
          <w:szCs w:val="21"/>
          <w:highlight w:val="none"/>
          <w:lang w:val="zh-CN"/>
        </w:rPr>
      </w:pPr>
      <w:bookmarkStart w:id="526" w:name="_Toc221951205"/>
    </w:p>
    <w:p>
      <w:pPr>
        <w:numPr>
          <w:ilvl w:val="0"/>
          <w:numId w:val="6"/>
        </w:numPr>
        <w:topLinePunct/>
        <w:spacing w:line="360" w:lineRule="auto"/>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全部逾期</w:t>
      </w:r>
      <w:r>
        <w:rPr>
          <w:rFonts w:hint="eastAsia" w:ascii="宋体" w:hAnsi="宋体" w:cs="宋体"/>
          <w:bCs/>
          <w:kern w:val="0"/>
          <w:szCs w:val="21"/>
          <w:highlight w:val="none"/>
          <w:lang w:val="zh-CN"/>
        </w:rPr>
        <w:t>完</w:t>
      </w:r>
      <w:r>
        <w:rPr>
          <w:rFonts w:hint="eastAsia" w:ascii="宋体" w:hAnsi="宋体" w:cs="宋体"/>
          <w:kern w:val="0"/>
          <w:szCs w:val="21"/>
          <w:highlight w:val="none"/>
          <w:lang w:val="zh-CN"/>
        </w:rPr>
        <w:t>工违约金的总限额为</w:t>
      </w:r>
      <w:r>
        <w:rPr>
          <w:rFonts w:hint="eastAsia" w:ascii="宋体" w:hAnsi="宋体" w:cs="宋体"/>
          <w:kern w:val="0"/>
          <w:szCs w:val="21"/>
          <w:highlight w:val="none"/>
          <w:u w:val="single"/>
          <w:lang w:val="zh-CN"/>
        </w:rPr>
        <w:t>不超过签约合同价的</w:t>
      </w:r>
      <w:r>
        <w:rPr>
          <w:rFonts w:hint="eastAsia" w:ascii="宋体" w:hAnsi="宋体" w:cs="宋体"/>
          <w:kern w:val="0"/>
          <w:szCs w:val="21"/>
          <w:highlight w:val="none"/>
          <w:u w:val="single"/>
          <w:lang w:val="en-US" w:eastAsia="zh-CN"/>
        </w:rPr>
        <w:t>40</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w:t>
      </w:r>
      <w:bookmarkEnd w:id="526"/>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本项目须于</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lang w:eastAsia="zh-CN"/>
        </w:rPr>
        <w:t xml:space="preserve">日前完成总项目80%以上工程量,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日前全部完工并上报工程款支付申请材料。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果乙方施工进度未达到合同要求，逾期违约金：按合同价的2‰/天。</w:t>
      </w:r>
    </w:p>
    <w:p>
      <w:pPr>
        <w:numPr>
          <w:ilvl w:val="0"/>
          <w:numId w:val="0"/>
        </w:numPr>
        <w:topLinePunct/>
        <w:spacing w:line="360" w:lineRule="auto"/>
        <w:jc w:val="left"/>
        <w:rPr>
          <w:rFonts w:hint="eastAsia" w:ascii="宋体" w:hAnsi="宋体" w:cs="宋体"/>
          <w:kern w:val="0"/>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期进度要求：如果乙方施工进度未达到合同要求，经甲方督促后且5天后仍未达到施工进度要求的，甲方将与其终止施工合同，由其它施工单位（按进度已完成）继续施工，并且甲方将按《水利建设市场主体信用信息管理办法》相关规定将乙方的不良行为记录信息报送至全国水利建设市场监管服务平台。</w:t>
      </w:r>
    </w:p>
    <w:p>
      <w:pPr>
        <w:topLinePunct/>
        <w:spacing w:line="360" w:lineRule="auto"/>
        <w:jc w:val="left"/>
        <w:outlineLvl w:val="2"/>
        <w:rPr>
          <w:rFonts w:ascii="宋体" w:hAnsi="宋体" w:cs="宋体"/>
          <w:kern w:val="0"/>
          <w:szCs w:val="21"/>
          <w:highlight w:val="none"/>
          <w:lang w:val="zh-CN"/>
        </w:rPr>
      </w:pPr>
      <w:bookmarkStart w:id="527" w:name="_Toc66038270"/>
      <w:bookmarkStart w:id="528" w:name="_Toc21622637"/>
      <w:bookmarkStart w:id="529" w:name="_Toc66038545"/>
      <w:r>
        <w:rPr>
          <w:rFonts w:hint="eastAsia" w:ascii="宋体" w:hAnsi="宋体" w:cs="宋体"/>
          <w:kern w:val="0"/>
          <w:szCs w:val="21"/>
          <w:highlight w:val="none"/>
          <w:lang w:val="zh-CN"/>
        </w:rPr>
        <w:t>11.6 工期提前</w:t>
      </w:r>
      <w:bookmarkEnd w:id="527"/>
      <w:bookmarkEnd w:id="528"/>
      <w:bookmarkEnd w:id="529"/>
    </w:p>
    <w:p>
      <w:pPr>
        <w:topLinePunct/>
        <w:spacing w:line="360" w:lineRule="auto"/>
        <w:jc w:val="left"/>
        <w:rPr>
          <w:rFonts w:ascii="宋体" w:hAnsi="宋体" w:cs="宋体"/>
          <w:kern w:val="0"/>
          <w:szCs w:val="21"/>
          <w:highlight w:val="none"/>
          <w:u w:val="single"/>
          <w:lang w:val="zh-CN"/>
        </w:rPr>
      </w:pPr>
      <w:r>
        <w:rPr>
          <w:rFonts w:hint="eastAsia" w:ascii="宋体" w:hAnsi="宋体" w:cs="宋体"/>
          <w:kern w:val="0"/>
          <w:szCs w:val="21"/>
          <w:highlight w:val="none"/>
          <w:lang w:val="zh-CN"/>
        </w:rPr>
        <w:t>工期提前的资金约定：</w:t>
      </w:r>
      <w:r>
        <w:rPr>
          <w:rFonts w:hint="eastAsia" w:ascii="宋体" w:hAnsi="宋体" w:cs="宋体"/>
          <w:kern w:val="0"/>
          <w:szCs w:val="21"/>
          <w:highlight w:val="none"/>
          <w:u w:val="single"/>
          <w:lang w:val="zh-CN"/>
        </w:rPr>
        <w:t xml:space="preserve">  工期提前无奖金  。</w:t>
      </w:r>
    </w:p>
    <w:p>
      <w:pPr>
        <w:topLinePunct/>
        <w:spacing w:line="360" w:lineRule="auto"/>
        <w:jc w:val="left"/>
        <w:outlineLvl w:val="1"/>
        <w:rPr>
          <w:rFonts w:ascii="宋体" w:hAnsi="宋体" w:cs="Microsoft JhengHei"/>
          <w:b/>
          <w:bCs/>
          <w:kern w:val="0"/>
          <w:szCs w:val="21"/>
          <w:highlight w:val="none"/>
          <w:lang w:val="zh-CN"/>
        </w:rPr>
      </w:pPr>
      <w:bookmarkStart w:id="530" w:name="_Toc66038271"/>
      <w:bookmarkStart w:id="531" w:name="_Toc229305395"/>
      <w:bookmarkStart w:id="532" w:name="_Toc221951206"/>
      <w:bookmarkStart w:id="533" w:name="_Toc222032706"/>
      <w:bookmarkStart w:id="534" w:name="_Toc222031039"/>
      <w:bookmarkStart w:id="535" w:name="_Toc222029537"/>
      <w:bookmarkStart w:id="536" w:name="_Toc222033888"/>
      <w:bookmarkStart w:id="537" w:name="_Toc66038546"/>
      <w:bookmarkStart w:id="538" w:name="_Toc416870633"/>
      <w:bookmarkStart w:id="539" w:name="_Toc468952840"/>
      <w:bookmarkStart w:id="540" w:name="_Toc508279762"/>
      <w:bookmarkStart w:id="541" w:name="_Toc21622638"/>
      <w:r>
        <w:rPr>
          <w:rFonts w:hint="eastAsia" w:ascii="宋体" w:hAnsi="宋体" w:cs="Microsoft JhengHei"/>
          <w:b/>
          <w:bCs/>
          <w:kern w:val="0"/>
          <w:szCs w:val="21"/>
          <w:highlight w:val="none"/>
          <w:lang w:val="zh-CN"/>
        </w:rPr>
        <w:t>12. 暂停施工</w:t>
      </w:r>
      <w:bookmarkEnd w:id="530"/>
      <w:bookmarkEnd w:id="531"/>
      <w:bookmarkEnd w:id="532"/>
      <w:bookmarkEnd w:id="533"/>
      <w:bookmarkEnd w:id="534"/>
      <w:bookmarkEnd w:id="535"/>
      <w:bookmarkEnd w:id="536"/>
      <w:bookmarkEnd w:id="537"/>
    </w:p>
    <w:p>
      <w:pPr>
        <w:topLinePunct/>
        <w:spacing w:line="360" w:lineRule="auto"/>
        <w:jc w:val="left"/>
        <w:rPr>
          <w:rFonts w:ascii="宋体" w:hAnsi="宋体" w:cs="宋体"/>
          <w:kern w:val="0"/>
          <w:szCs w:val="21"/>
          <w:highlight w:val="none"/>
          <w:lang w:val="zh-CN"/>
        </w:rPr>
      </w:pPr>
      <w:bookmarkStart w:id="542" w:name="_Toc221951207"/>
      <w:r>
        <w:rPr>
          <w:rFonts w:hint="eastAsia" w:ascii="宋体" w:hAnsi="宋体" w:cs="宋体"/>
          <w:kern w:val="0"/>
          <w:szCs w:val="21"/>
          <w:highlight w:val="none"/>
          <w:lang w:val="zh-CN"/>
        </w:rPr>
        <w:t>12.1承包人暂停施工的责任</w:t>
      </w:r>
      <w:bookmarkEnd w:id="542"/>
    </w:p>
    <w:p>
      <w:pPr>
        <w:topLinePunct/>
        <w:spacing w:line="360" w:lineRule="auto"/>
        <w:ind w:firstLine="420" w:firstLineChars="200"/>
        <w:jc w:val="left"/>
        <w:rPr>
          <w:rFonts w:ascii="宋体" w:hAnsi="宋体" w:cs="宋体"/>
          <w:kern w:val="0"/>
          <w:szCs w:val="21"/>
          <w:highlight w:val="none"/>
          <w:lang w:val="zh-CN"/>
        </w:rPr>
      </w:pPr>
      <w:bookmarkStart w:id="543" w:name="_Toc221951209"/>
      <w:r>
        <w:rPr>
          <w:rFonts w:hint="eastAsia" w:ascii="宋体" w:hAnsi="宋体" w:cs="宋体"/>
          <w:kern w:val="0"/>
          <w:szCs w:val="21"/>
          <w:highlight w:val="none"/>
          <w:lang w:val="zh-CN"/>
        </w:rPr>
        <w:t>(5) 承包人承担暂停施工责任的其它情形：承包人因资金、施工设备、物资供应、施工技术措施不当引起的暂停施工。</w:t>
      </w:r>
      <w:bookmarkEnd w:id="543"/>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12.2发包人暂停施工的责任</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 </w:t>
      </w:r>
      <w:r>
        <w:rPr>
          <w:rFonts w:ascii="宋体" w:hAnsi="宋体" w:cs="宋体"/>
          <w:kern w:val="0"/>
          <w:szCs w:val="21"/>
          <w:highlight w:val="none"/>
          <w:lang w:val="zh-CN"/>
        </w:rPr>
        <w:t xml:space="preserve">   </w:t>
      </w:r>
      <w:r>
        <w:rPr>
          <w:rFonts w:hint="eastAsia" w:ascii="宋体" w:hAnsi="宋体" w:cs="宋体"/>
          <w:kern w:val="0"/>
          <w:szCs w:val="21"/>
          <w:highlight w:val="none"/>
          <w:lang w:val="zh-CN"/>
        </w:rPr>
        <w:t>由于发包人原因引起的暂停施工造成工期延误的，承包人有权要求发包人延长工期，发包人不支付</w:t>
      </w:r>
      <w:r>
        <w:rPr>
          <w:rFonts w:ascii="宋体" w:hAnsi="宋体" w:cs="宋体"/>
          <w:kern w:val="0"/>
          <w:szCs w:val="21"/>
          <w:highlight w:val="none"/>
          <w:lang w:val="zh-CN"/>
        </w:rPr>
        <w:t>相应的费用</w:t>
      </w:r>
      <w:r>
        <w:rPr>
          <w:rFonts w:hint="eastAsia" w:ascii="宋体" w:hAnsi="宋体" w:cs="宋体"/>
          <w:kern w:val="0"/>
          <w:szCs w:val="21"/>
          <w:highlight w:val="none"/>
          <w:lang w:val="zh-CN"/>
        </w:rPr>
        <w:t>和利润补（</w:t>
      </w:r>
      <w:r>
        <w:rPr>
          <w:rFonts w:ascii="宋体" w:hAnsi="宋体" w:cs="宋体"/>
          <w:kern w:val="0"/>
          <w:szCs w:val="21"/>
          <w:highlight w:val="none"/>
          <w:lang w:val="zh-CN"/>
        </w:rPr>
        <w:t>赔</w:t>
      </w:r>
      <w:r>
        <w:rPr>
          <w:rFonts w:hint="eastAsia" w:ascii="宋体" w:hAnsi="宋体" w:cs="宋体"/>
          <w:kern w:val="0"/>
          <w:szCs w:val="21"/>
          <w:highlight w:val="none"/>
          <w:lang w:val="zh-CN"/>
        </w:rPr>
        <w:t>）</w:t>
      </w:r>
      <w:r>
        <w:rPr>
          <w:rFonts w:ascii="宋体" w:hAnsi="宋体" w:cs="宋体"/>
          <w:kern w:val="0"/>
          <w:szCs w:val="21"/>
          <w:highlight w:val="none"/>
          <w:lang w:val="zh-CN"/>
        </w:rPr>
        <w:t>偿</w:t>
      </w:r>
      <w:r>
        <w:rPr>
          <w:rFonts w:hint="eastAsia" w:ascii="宋体" w:hAnsi="宋体" w:eastAsia="Times New Roman" w:cs="宋体"/>
          <w:kern w:val="0"/>
          <w:sz w:val="22"/>
          <w:szCs w:val="21"/>
          <w:highlight w:val="none"/>
          <w:lang w:val="zh-CN"/>
        </w:rPr>
        <w:t>。</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(3) 发包人承担暂停施工责任的其它情形：重大设计变更、征地移民动迁等。</w:t>
      </w:r>
    </w:p>
    <w:p>
      <w:pPr>
        <w:topLinePunct/>
        <w:spacing w:line="360" w:lineRule="auto"/>
        <w:jc w:val="left"/>
        <w:outlineLvl w:val="1"/>
        <w:rPr>
          <w:rFonts w:ascii="宋体" w:hAnsi="宋体" w:cs="Microsoft JhengHei"/>
          <w:b/>
          <w:bCs/>
          <w:kern w:val="0"/>
          <w:szCs w:val="21"/>
          <w:highlight w:val="none"/>
          <w:lang w:val="zh-CN"/>
        </w:rPr>
      </w:pPr>
      <w:bookmarkStart w:id="544" w:name="_Toc66038272"/>
      <w:bookmarkStart w:id="545" w:name="_Toc66038547"/>
      <w:r>
        <w:rPr>
          <w:rFonts w:hint="eastAsia" w:ascii="宋体" w:hAnsi="宋体" w:cs="Microsoft JhengHei"/>
          <w:b/>
          <w:bCs/>
          <w:kern w:val="0"/>
          <w:szCs w:val="21"/>
          <w:highlight w:val="none"/>
          <w:lang w:val="zh-CN"/>
        </w:rPr>
        <w:t>13. 工程质量</w:t>
      </w:r>
      <w:bookmarkEnd w:id="538"/>
      <w:bookmarkEnd w:id="539"/>
      <w:bookmarkEnd w:id="540"/>
      <w:bookmarkEnd w:id="541"/>
      <w:bookmarkEnd w:id="544"/>
      <w:bookmarkEnd w:id="545"/>
    </w:p>
    <w:p>
      <w:pPr>
        <w:topLinePunct/>
        <w:spacing w:line="360" w:lineRule="auto"/>
        <w:jc w:val="left"/>
        <w:outlineLvl w:val="2"/>
        <w:rPr>
          <w:rFonts w:ascii="宋体" w:hAnsi="宋体" w:cs="宋体"/>
          <w:kern w:val="0"/>
          <w:szCs w:val="21"/>
          <w:highlight w:val="none"/>
          <w:lang w:val="zh-CN"/>
        </w:rPr>
      </w:pPr>
      <w:bookmarkStart w:id="546" w:name="_Toc66038273"/>
      <w:bookmarkStart w:id="547" w:name="_Toc21622639"/>
      <w:bookmarkStart w:id="548" w:name="_Toc66038548"/>
      <w:r>
        <w:rPr>
          <w:rFonts w:hint="eastAsia" w:ascii="宋体" w:hAnsi="宋体" w:cs="宋体"/>
          <w:kern w:val="0"/>
          <w:szCs w:val="21"/>
          <w:highlight w:val="none"/>
          <w:lang w:val="zh-CN"/>
        </w:rPr>
        <w:t>13.7 质量评定</w:t>
      </w:r>
      <w:bookmarkEnd w:id="546"/>
      <w:bookmarkEnd w:id="547"/>
      <w:bookmarkEnd w:id="548"/>
    </w:p>
    <w:p>
      <w:pPr>
        <w:topLinePunct/>
        <w:spacing w:line="360" w:lineRule="auto"/>
        <w:jc w:val="left"/>
        <w:rPr>
          <w:rFonts w:hint="eastAsia" w:ascii="宋体" w:hAnsi="宋体" w:cs="宋体"/>
          <w:kern w:val="0"/>
          <w:szCs w:val="21"/>
          <w:highlight w:val="none"/>
          <w:u w:val="single"/>
          <w:lang w:val="zh-CN"/>
        </w:rPr>
      </w:pPr>
      <w:r>
        <w:rPr>
          <w:rFonts w:hint="eastAsia" w:ascii="宋体" w:hAnsi="宋体" w:cs="宋体"/>
          <w:kern w:val="0"/>
          <w:szCs w:val="21"/>
          <w:highlight w:val="none"/>
          <w:lang w:val="zh-CN"/>
        </w:rPr>
        <w:t>13.7.4 重要隐蔽单元工程和关键部位单元工程质量评定的约定：</w:t>
      </w:r>
      <w:r>
        <w:rPr>
          <w:rFonts w:hint="eastAsia" w:ascii="宋体" w:hAnsi="宋体" w:cs="宋体"/>
          <w:kern w:val="0"/>
          <w:szCs w:val="21"/>
          <w:highlight w:val="none"/>
          <w:u w:val="single"/>
          <w:lang w:val="zh-CN"/>
        </w:rPr>
        <w:t>按现行的《水利水电工程施工质量检验与评定规程》的有关规定执行。</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13.7.7 工程合格标准为：</w:t>
      </w:r>
      <w:r>
        <w:rPr>
          <w:rFonts w:hint="eastAsia" w:ascii="宋体" w:hAnsi="宋体" w:cs="宋体"/>
          <w:kern w:val="0"/>
          <w:szCs w:val="21"/>
          <w:highlight w:val="none"/>
          <w:u w:val="single"/>
          <w:lang w:val="zh-CN"/>
        </w:rPr>
        <w:t>按现行的《水利水电工程施工质量检验与评定规程》的有关规定执行</w:t>
      </w:r>
      <w:r>
        <w:rPr>
          <w:rFonts w:hint="eastAsia" w:ascii="宋体" w:hAnsi="宋体" w:cs="宋体"/>
          <w:kern w:val="0"/>
          <w:szCs w:val="21"/>
          <w:highlight w:val="none"/>
          <w:lang w:val="zh-CN"/>
        </w:rPr>
        <w:t>；优良标准为：</w:t>
      </w:r>
      <w:r>
        <w:rPr>
          <w:rFonts w:hint="eastAsia" w:ascii="宋体" w:hAnsi="宋体" w:cs="宋体"/>
          <w:kern w:val="0"/>
          <w:szCs w:val="21"/>
          <w:highlight w:val="none"/>
          <w:u w:val="single"/>
          <w:lang w:val="zh-CN"/>
        </w:rPr>
        <w:t>按现行的《水利水电工程施工质量检验与评定规程》的有关规定执行</w:t>
      </w:r>
      <w:r>
        <w:rPr>
          <w:rFonts w:hint="eastAsia" w:ascii="宋体" w:hAnsi="宋体" w:cs="宋体"/>
          <w:kern w:val="0"/>
          <w:szCs w:val="21"/>
          <w:highlight w:val="none"/>
          <w:lang w:val="zh-CN"/>
        </w:rPr>
        <w:t>。达到优良的奖为：</w:t>
      </w:r>
      <w:r>
        <w:rPr>
          <w:rFonts w:hint="eastAsia" w:ascii="宋体" w:hAnsi="宋体" w:cs="宋体"/>
          <w:kern w:val="0"/>
          <w:szCs w:val="21"/>
          <w:highlight w:val="none"/>
          <w:u w:val="single"/>
          <w:lang w:val="zh-CN"/>
        </w:rPr>
        <w:t>无</w:t>
      </w:r>
      <w:r>
        <w:rPr>
          <w:rFonts w:hint="eastAsia" w:ascii="宋体" w:hAnsi="宋体" w:cs="宋体"/>
          <w:kern w:val="0"/>
          <w:szCs w:val="21"/>
          <w:highlight w:val="none"/>
          <w:lang w:val="zh-CN"/>
        </w:rPr>
        <w:t>。</w:t>
      </w:r>
    </w:p>
    <w:p>
      <w:pPr>
        <w:topLinePunct/>
        <w:spacing w:line="360" w:lineRule="auto"/>
        <w:jc w:val="left"/>
        <w:outlineLvl w:val="2"/>
        <w:rPr>
          <w:rFonts w:ascii="宋体" w:hAnsi="宋体" w:cs="宋体"/>
          <w:kern w:val="0"/>
          <w:szCs w:val="21"/>
          <w:highlight w:val="none"/>
          <w:lang w:val="zh-CN"/>
        </w:rPr>
      </w:pPr>
      <w:bookmarkStart w:id="549" w:name="_Toc66038549"/>
      <w:bookmarkStart w:id="550" w:name="_Toc66038274"/>
      <w:bookmarkStart w:id="551" w:name="_Toc21622640"/>
      <w:r>
        <w:rPr>
          <w:rFonts w:hint="eastAsia" w:ascii="宋体" w:hAnsi="宋体" w:cs="宋体"/>
          <w:kern w:val="0"/>
          <w:szCs w:val="21"/>
          <w:highlight w:val="none"/>
          <w:lang w:val="zh-CN"/>
        </w:rPr>
        <w:t>13.8 质量事故处理</w:t>
      </w:r>
      <w:bookmarkEnd w:id="549"/>
      <w:bookmarkEnd w:id="550"/>
      <w:bookmarkEnd w:id="551"/>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13.8.4 工程竣工验收时，</w:t>
      </w:r>
      <w:r>
        <w:rPr>
          <w:rFonts w:hint="eastAsia" w:ascii="宋体" w:hAnsi="宋体" w:cs="宋体"/>
          <w:kern w:val="0"/>
          <w:szCs w:val="21"/>
          <w:highlight w:val="none"/>
          <w:u w:val="single"/>
          <w:lang w:val="zh-CN"/>
        </w:rPr>
        <w:t xml:space="preserve">  发包人 </w:t>
      </w:r>
      <w:r>
        <w:rPr>
          <w:rFonts w:hint="eastAsia" w:ascii="宋体" w:hAnsi="宋体" w:cs="宋体"/>
          <w:kern w:val="0"/>
          <w:szCs w:val="21"/>
          <w:highlight w:val="none"/>
          <w:lang w:val="zh-CN"/>
        </w:rPr>
        <w:t>向竣工验收委员会汇报并提交历次质量缺陷处理的备案资料。</w:t>
      </w:r>
    </w:p>
    <w:p>
      <w:pPr>
        <w:topLinePunct/>
        <w:spacing w:line="360" w:lineRule="auto"/>
        <w:jc w:val="left"/>
        <w:outlineLvl w:val="2"/>
        <w:rPr>
          <w:rFonts w:ascii="宋体" w:hAnsi="宋体" w:cs="宋体"/>
          <w:kern w:val="0"/>
          <w:szCs w:val="21"/>
          <w:highlight w:val="none"/>
          <w:lang w:val="zh-CN"/>
        </w:rPr>
      </w:pPr>
      <w:bookmarkStart w:id="552" w:name="_Toc21622641"/>
      <w:bookmarkStart w:id="553" w:name="_Toc66038550"/>
      <w:bookmarkStart w:id="554" w:name="_Toc66038275"/>
      <w:r>
        <w:rPr>
          <w:rFonts w:hint="eastAsia" w:ascii="宋体" w:hAnsi="宋体" w:cs="宋体"/>
          <w:kern w:val="0"/>
          <w:szCs w:val="21"/>
          <w:highlight w:val="none"/>
          <w:lang w:val="zh-CN"/>
        </w:rPr>
        <w:t>14.试验和检验</w:t>
      </w:r>
      <w:bookmarkEnd w:id="552"/>
      <w:bookmarkEnd w:id="553"/>
      <w:bookmarkEnd w:id="554"/>
    </w:p>
    <w:p>
      <w:pPr>
        <w:topLinePunct/>
        <w:spacing w:line="360" w:lineRule="auto"/>
        <w:jc w:val="left"/>
        <w:outlineLvl w:val="2"/>
        <w:rPr>
          <w:rFonts w:ascii="宋体" w:hAnsi="宋体" w:cs="宋体"/>
          <w:kern w:val="0"/>
          <w:szCs w:val="21"/>
          <w:highlight w:val="none"/>
          <w:lang w:val="zh-CN"/>
        </w:rPr>
      </w:pPr>
      <w:bookmarkStart w:id="555" w:name="_Toc66038276"/>
      <w:bookmarkStart w:id="556" w:name="_Toc21622642"/>
      <w:bookmarkStart w:id="557" w:name="_Toc66038551"/>
      <w:r>
        <w:rPr>
          <w:rFonts w:hint="eastAsia" w:ascii="宋体" w:hAnsi="宋体" w:cs="宋体"/>
          <w:kern w:val="0"/>
          <w:szCs w:val="21"/>
          <w:highlight w:val="none"/>
          <w:lang w:val="zh-CN"/>
        </w:rPr>
        <w:t>14.1 材料、工程设备和工程的试验和检验</w:t>
      </w:r>
      <w:bookmarkEnd w:id="555"/>
      <w:bookmarkEnd w:id="556"/>
      <w:bookmarkEnd w:id="557"/>
    </w:p>
    <w:p>
      <w:pPr>
        <w:topLinePunct/>
        <w:spacing w:line="360" w:lineRule="auto"/>
        <w:jc w:val="left"/>
        <w:rPr>
          <w:rFonts w:hint="eastAsia" w:ascii="宋体" w:hAnsi="宋体" w:cs="宋体"/>
          <w:kern w:val="0"/>
          <w:szCs w:val="21"/>
          <w:highlight w:val="none"/>
          <w:u w:val="single"/>
          <w:lang w:val="zh-CN"/>
        </w:rPr>
      </w:pPr>
      <w:r>
        <w:rPr>
          <w:rFonts w:ascii="宋体" w:hAnsi="宋体" w:cs="宋体"/>
          <w:kern w:val="0"/>
          <w:szCs w:val="21"/>
          <w:highlight w:val="none"/>
          <w:lang w:val="zh-CN"/>
        </w:rPr>
        <w:t xml:space="preserve">14.1.5 </w:t>
      </w:r>
      <w:r>
        <w:rPr>
          <w:rFonts w:hint="eastAsia" w:ascii="宋体" w:hAnsi="宋体" w:cs="宋体"/>
          <w:kern w:val="0"/>
          <w:szCs w:val="21"/>
          <w:highlight w:val="none"/>
          <w:lang w:val="zh-CN"/>
        </w:rPr>
        <w:t>水工金属结构、启闭机及机电产品进场后的交货检查和验收中，承包人负责将</w:t>
      </w:r>
      <w:r>
        <w:rPr>
          <w:rFonts w:ascii="宋体" w:hAnsi="宋体" w:cs="宋体"/>
          <w:kern w:val="0"/>
          <w:szCs w:val="21"/>
          <w:highlight w:val="none"/>
          <w:u w:val="single"/>
          <w:lang w:val="zh-CN"/>
        </w:rPr>
        <w:t>出厂合格证、设备安装说明书及有关技术文件</w:t>
      </w:r>
      <w:r>
        <w:rPr>
          <w:rFonts w:hint="eastAsia" w:ascii="宋体" w:hAnsi="宋体" w:cs="宋体"/>
          <w:kern w:val="0"/>
          <w:szCs w:val="21"/>
          <w:highlight w:val="none"/>
          <w:u w:val="single"/>
          <w:lang w:val="zh-CN"/>
        </w:rPr>
        <w:t>上报监理人、发包人。</w:t>
      </w:r>
    </w:p>
    <w:p>
      <w:pPr>
        <w:topLinePunct/>
        <w:spacing w:line="360" w:lineRule="auto"/>
        <w:jc w:val="left"/>
        <w:rPr>
          <w:rFonts w:ascii="宋体" w:hAnsi="宋体" w:cs="宋体"/>
          <w:kern w:val="0"/>
          <w:szCs w:val="21"/>
          <w:highlight w:val="none"/>
          <w:u w:val="single"/>
          <w:lang w:val="zh-CN"/>
        </w:rPr>
      </w:pPr>
      <w:r>
        <w:rPr>
          <w:rFonts w:hint="eastAsia" w:ascii="宋体" w:hAnsi="宋体" w:cs="宋体"/>
          <w:kern w:val="0"/>
          <w:szCs w:val="21"/>
          <w:highlight w:val="none"/>
          <w:lang w:val="zh-CN"/>
        </w:rPr>
        <w:t>14.1.6 本工程实行见证取样的试块、试件及有关材料：</w:t>
      </w:r>
      <w:r>
        <w:rPr>
          <w:rFonts w:hint="eastAsia" w:ascii="宋体" w:hAnsi="宋体" w:cs="宋体"/>
          <w:kern w:val="0"/>
          <w:szCs w:val="21"/>
          <w:highlight w:val="none"/>
          <w:u w:val="single"/>
          <w:lang w:val="zh-CN"/>
        </w:rPr>
        <w:t>按相关规定及监理人、发包人认为有必要见证取样的。</w:t>
      </w:r>
    </w:p>
    <w:p>
      <w:pPr>
        <w:topLinePunct/>
        <w:spacing w:line="360" w:lineRule="auto"/>
        <w:jc w:val="left"/>
        <w:outlineLvl w:val="1"/>
        <w:rPr>
          <w:rFonts w:ascii="宋体" w:hAnsi="宋体" w:cs="Microsoft JhengHei"/>
          <w:b/>
          <w:bCs/>
          <w:kern w:val="0"/>
          <w:szCs w:val="21"/>
          <w:highlight w:val="none"/>
          <w:lang w:val="zh-CN"/>
        </w:rPr>
      </w:pPr>
      <w:bookmarkStart w:id="558" w:name="_Toc222032708"/>
      <w:bookmarkStart w:id="559" w:name="_Toc222031041"/>
      <w:bookmarkStart w:id="560" w:name="_Toc66038552"/>
      <w:bookmarkStart w:id="561" w:name="_Toc416870634"/>
      <w:bookmarkStart w:id="562" w:name="_Toc468952841"/>
      <w:bookmarkStart w:id="563" w:name="_Toc222033890"/>
      <w:bookmarkStart w:id="564" w:name="_Toc21622643"/>
      <w:bookmarkStart w:id="565" w:name="_Toc222029539"/>
      <w:bookmarkStart w:id="566" w:name="_Toc66038277"/>
      <w:bookmarkStart w:id="567" w:name="_Toc508279763"/>
      <w:bookmarkStart w:id="568" w:name="_Toc221951213"/>
      <w:bookmarkStart w:id="569" w:name="_Toc229305396"/>
      <w:r>
        <w:rPr>
          <w:rFonts w:hint="eastAsia" w:ascii="宋体" w:hAnsi="宋体" w:cs="Microsoft JhengHei"/>
          <w:b/>
          <w:bCs/>
          <w:kern w:val="0"/>
          <w:szCs w:val="21"/>
          <w:highlight w:val="none"/>
          <w:lang w:val="zh-CN"/>
        </w:rPr>
        <w:t>15. 变更</w:t>
      </w:r>
      <w:bookmarkEnd w:id="558"/>
      <w:bookmarkEnd w:id="559"/>
      <w:bookmarkEnd w:id="560"/>
      <w:bookmarkEnd w:id="561"/>
      <w:bookmarkEnd w:id="562"/>
      <w:bookmarkEnd w:id="563"/>
      <w:bookmarkEnd w:id="564"/>
      <w:bookmarkEnd w:id="565"/>
      <w:bookmarkEnd w:id="566"/>
      <w:bookmarkEnd w:id="567"/>
      <w:bookmarkEnd w:id="568"/>
      <w:bookmarkEnd w:id="569"/>
    </w:p>
    <w:p>
      <w:pPr>
        <w:topLinePunct/>
        <w:spacing w:line="360" w:lineRule="auto"/>
        <w:jc w:val="left"/>
        <w:outlineLvl w:val="2"/>
        <w:rPr>
          <w:rFonts w:ascii="宋体" w:hAnsi="宋体" w:cs="宋体"/>
          <w:kern w:val="0"/>
          <w:szCs w:val="21"/>
          <w:highlight w:val="none"/>
          <w:lang w:val="zh-CN"/>
        </w:rPr>
      </w:pPr>
      <w:bookmarkStart w:id="570" w:name="_Toc221951214"/>
      <w:bookmarkStart w:id="571" w:name="_Toc21622644"/>
      <w:bookmarkStart w:id="572" w:name="_Toc66038278"/>
      <w:bookmarkStart w:id="573" w:name="_Toc66038553"/>
      <w:r>
        <w:rPr>
          <w:rFonts w:hint="eastAsia" w:ascii="宋体" w:hAnsi="宋体" w:cs="宋体"/>
          <w:kern w:val="0"/>
          <w:szCs w:val="21"/>
          <w:highlight w:val="none"/>
          <w:lang w:val="zh-CN"/>
        </w:rPr>
        <w:t>15.1 变更的范围和内容</w:t>
      </w:r>
      <w:bookmarkEnd w:id="570"/>
      <w:bookmarkEnd w:id="571"/>
      <w:bookmarkEnd w:id="572"/>
      <w:bookmarkEnd w:id="573"/>
    </w:p>
    <w:p>
      <w:pPr>
        <w:topLinePunct/>
        <w:spacing w:line="360" w:lineRule="auto"/>
        <w:jc w:val="left"/>
        <w:rPr>
          <w:rFonts w:ascii="宋体" w:hAnsi="宋体" w:cs="宋体"/>
          <w:b/>
          <w:kern w:val="0"/>
          <w:szCs w:val="21"/>
          <w:highlight w:val="none"/>
          <w:lang w:val="zh-CN"/>
        </w:rPr>
      </w:pPr>
      <w:bookmarkStart w:id="574" w:name="_Toc221951216"/>
      <w:r>
        <w:rPr>
          <w:rFonts w:hint="eastAsia" w:ascii="宋体" w:hAnsi="宋体" w:cs="宋体"/>
          <w:b/>
          <w:kern w:val="0"/>
          <w:szCs w:val="21"/>
          <w:highlight w:val="none"/>
          <w:lang w:val="zh-CN"/>
        </w:rPr>
        <w:t>（6）增加或减少合同中工程量清单中任何项目的工程量</w:t>
      </w:r>
      <w:bookmarkEnd w:id="574"/>
      <w:r>
        <w:rPr>
          <w:rFonts w:hint="eastAsia" w:ascii="宋体" w:hAnsi="宋体" w:cs="宋体"/>
          <w:b/>
          <w:kern w:val="0"/>
          <w:szCs w:val="21"/>
          <w:highlight w:val="none"/>
          <w:lang w:val="zh-CN"/>
        </w:rPr>
        <w:t>，单价不予调整。</w:t>
      </w:r>
    </w:p>
    <w:p>
      <w:pPr>
        <w:topLinePunct/>
        <w:spacing w:line="360" w:lineRule="auto"/>
        <w:jc w:val="left"/>
        <w:outlineLvl w:val="2"/>
        <w:rPr>
          <w:rFonts w:ascii="宋体" w:hAnsi="宋体" w:cs="宋体"/>
          <w:kern w:val="0"/>
          <w:szCs w:val="21"/>
          <w:highlight w:val="none"/>
          <w:lang w:val="zh-CN"/>
        </w:rPr>
      </w:pPr>
      <w:bookmarkStart w:id="575" w:name="_Toc21622645"/>
      <w:bookmarkStart w:id="576" w:name="_Toc66038554"/>
      <w:bookmarkStart w:id="577" w:name="_Toc66038279"/>
      <w:bookmarkStart w:id="578" w:name="_Toc221951218"/>
      <w:r>
        <w:rPr>
          <w:rFonts w:hint="eastAsia" w:ascii="宋体" w:hAnsi="宋体" w:cs="宋体"/>
          <w:kern w:val="0"/>
          <w:szCs w:val="21"/>
          <w:highlight w:val="none"/>
          <w:lang w:val="zh-CN"/>
        </w:rPr>
        <w:t>15.5 承包人的合理化建议</w:t>
      </w:r>
      <w:bookmarkEnd w:id="575"/>
      <w:bookmarkEnd w:id="576"/>
      <w:bookmarkEnd w:id="577"/>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15.5.2 </w:t>
      </w:r>
      <w:bookmarkEnd w:id="578"/>
      <w:bookmarkStart w:id="579" w:name="_Toc221951219"/>
      <w:r>
        <w:rPr>
          <w:rFonts w:hint="eastAsia" w:ascii="宋体" w:hAnsi="宋体" w:cs="宋体"/>
          <w:kern w:val="0"/>
          <w:szCs w:val="21"/>
          <w:highlight w:val="none"/>
          <w:lang w:val="zh-CN"/>
        </w:rPr>
        <w:t>承包人实现合理化建议的奖励金额为：</w:t>
      </w:r>
      <w:bookmarkEnd w:id="579"/>
      <w:bookmarkStart w:id="580" w:name="_Toc221951220"/>
      <w:r>
        <w:rPr>
          <w:rFonts w:hint="eastAsia" w:ascii="宋体" w:hAnsi="宋体" w:cs="宋体"/>
          <w:kern w:val="0"/>
          <w:szCs w:val="21"/>
          <w:highlight w:val="none"/>
          <w:u w:val="single"/>
          <w:lang w:val="zh-CN"/>
        </w:rPr>
        <w:t xml:space="preserve">  无  </w:t>
      </w:r>
      <w:r>
        <w:rPr>
          <w:rFonts w:hint="eastAsia" w:ascii="宋体" w:hAnsi="宋体" w:cs="宋体"/>
          <w:kern w:val="0"/>
          <w:szCs w:val="21"/>
          <w:highlight w:val="none"/>
          <w:lang w:val="zh-CN"/>
        </w:rPr>
        <w:t>。</w:t>
      </w:r>
      <w:bookmarkEnd w:id="580"/>
    </w:p>
    <w:p>
      <w:pPr>
        <w:topLinePunct/>
        <w:spacing w:line="360" w:lineRule="auto"/>
        <w:jc w:val="left"/>
        <w:rPr>
          <w:rFonts w:ascii="宋体" w:hAnsi="宋体" w:cs="Microsoft JhengHei"/>
          <w:b/>
          <w:bCs/>
          <w:kern w:val="0"/>
          <w:szCs w:val="21"/>
          <w:highlight w:val="none"/>
          <w:lang w:val="zh-CN"/>
        </w:rPr>
      </w:pPr>
      <w:r>
        <w:rPr>
          <w:rFonts w:hint="eastAsia" w:ascii="宋体" w:hAnsi="宋体" w:cs="宋体"/>
          <w:kern w:val="0"/>
          <w:szCs w:val="21"/>
          <w:highlight w:val="none"/>
          <w:lang w:val="zh-CN"/>
        </w:rPr>
        <w:t>1</w:t>
      </w:r>
      <w:r>
        <w:rPr>
          <w:rFonts w:ascii="宋体" w:hAnsi="宋体" w:cs="Microsoft JhengHei"/>
          <w:b/>
          <w:bCs/>
          <w:kern w:val="0"/>
          <w:szCs w:val="21"/>
          <w:highlight w:val="none"/>
          <w:lang w:val="zh-CN"/>
        </w:rPr>
        <w:t xml:space="preserve">5.8 </w:t>
      </w:r>
      <w:r>
        <w:rPr>
          <w:rFonts w:hint="eastAsia" w:ascii="宋体" w:hAnsi="宋体" w:cs="Microsoft JhengHei"/>
          <w:b/>
          <w:bCs/>
          <w:kern w:val="0"/>
          <w:szCs w:val="21"/>
          <w:highlight w:val="none"/>
          <w:lang w:val="zh-CN"/>
        </w:rPr>
        <w:t>暂估价</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w:t>
      </w:r>
      <w:r>
        <w:rPr>
          <w:rFonts w:ascii="宋体" w:hAnsi="宋体" w:cs="宋体"/>
          <w:kern w:val="0"/>
          <w:szCs w:val="21"/>
          <w:highlight w:val="none"/>
          <w:lang w:val="zh-CN"/>
        </w:rPr>
        <w:t xml:space="preserve">5.8.1 </w:t>
      </w:r>
      <w:r>
        <w:rPr>
          <w:rFonts w:hint="eastAsia" w:ascii="宋体" w:hAnsi="宋体" w:cs="宋体"/>
          <w:kern w:val="0"/>
          <w:szCs w:val="21"/>
          <w:highlight w:val="none"/>
          <w:lang w:val="zh-CN"/>
        </w:rPr>
        <w:t>发包人在工程量清单中给定暂估价的材料、工程设备和专业工程属于依法必须招标的范围并达到规定的规模标准的，由发包人组织招标。</w:t>
      </w:r>
    </w:p>
    <w:p>
      <w:pPr>
        <w:topLinePunct/>
        <w:spacing w:line="360" w:lineRule="auto"/>
        <w:jc w:val="left"/>
        <w:outlineLvl w:val="1"/>
        <w:rPr>
          <w:rFonts w:ascii="宋体" w:hAnsi="宋体" w:cs="Microsoft JhengHei"/>
          <w:b/>
          <w:bCs/>
          <w:kern w:val="0"/>
          <w:szCs w:val="21"/>
          <w:highlight w:val="none"/>
          <w:lang w:val="zh-CN"/>
        </w:rPr>
      </w:pPr>
      <w:bookmarkStart w:id="581" w:name="_Toc66038280"/>
      <w:bookmarkStart w:id="582" w:name="_Toc416870635"/>
      <w:bookmarkStart w:id="583" w:name="_Toc468952842"/>
      <w:bookmarkStart w:id="584" w:name="_Toc508279764"/>
      <w:bookmarkStart w:id="585" w:name="_Toc229305397"/>
      <w:bookmarkStart w:id="586" w:name="_Toc66038555"/>
      <w:bookmarkStart w:id="587" w:name="_Toc21622646"/>
      <w:r>
        <w:rPr>
          <w:rFonts w:hint="eastAsia" w:ascii="宋体" w:hAnsi="宋体" w:cs="Microsoft JhengHei"/>
          <w:b/>
          <w:bCs/>
          <w:kern w:val="0"/>
          <w:szCs w:val="21"/>
          <w:highlight w:val="none"/>
          <w:lang w:val="zh-CN"/>
        </w:rPr>
        <w:t>16. 价格调整</w:t>
      </w:r>
      <w:bookmarkEnd w:id="581"/>
      <w:bookmarkEnd w:id="582"/>
      <w:bookmarkEnd w:id="583"/>
      <w:bookmarkEnd w:id="584"/>
      <w:bookmarkEnd w:id="585"/>
      <w:bookmarkEnd w:id="586"/>
      <w:bookmarkEnd w:id="587"/>
    </w:p>
    <w:p>
      <w:pPr>
        <w:topLinePunct/>
        <w:spacing w:line="360" w:lineRule="auto"/>
        <w:outlineLvl w:val="1"/>
        <w:rPr>
          <w:rFonts w:ascii="宋体" w:hAnsi="宋体" w:cs="宋体"/>
          <w:kern w:val="0"/>
          <w:szCs w:val="21"/>
          <w:highlight w:val="none"/>
          <w:lang w:val="zh-CN"/>
        </w:rPr>
      </w:pPr>
      <w:bookmarkStart w:id="588" w:name="_Toc235621613"/>
      <w:bookmarkStart w:id="589" w:name="_Toc441828394"/>
      <w:bookmarkStart w:id="590" w:name="_Toc66038281"/>
      <w:bookmarkStart w:id="591" w:name="_Toc66038556"/>
      <w:bookmarkStart w:id="592" w:name="_Toc292198084"/>
      <w:bookmarkStart w:id="593" w:name="_Toc447823193"/>
      <w:r>
        <w:rPr>
          <w:rFonts w:hint="eastAsia" w:ascii="宋体" w:hAnsi="宋体" w:cs="宋体"/>
          <w:kern w:val="0"/>
          <w:szCs w:val="21"/>
          <w:highlight w:val="none"/>
          <w:lang w:val="zh-CN"/>
        </w:rPr>
        <w:t>16.1 物价波动引起的价格调整</w:t>
      </w:r>
      <w:bookmarkEnd w:id="588"/>
      <w:bookmarkEnd w:id="589"/>
      <w:bookmarkEnd w:id="590"/>
      <w:bookmarkEnd w:id="591"/>
      <w:bookmarkEnd w:id="592"/>
      <w:bookmarkEnd w:id="593"/>
    </w:p>
    <w:p>
      <w:pPr>
        <w:topLinePunct/>
        <w:spacing w:line="360" w:lineRule="auto"/>
        <w:ind w:firstLine="420" w:firstLineChars="200"/>
        <w:jc w:val="left"/>
        <w:outlineLvl w:val="1"/>
        <w:rPr>
          <w:rFonts w:ascii="宋体" w:hAnsi="宋体" w:cs="宋体"/>
          <w:kern w:val="0"/>
          <w:szCs w:val="21"/>
          <w:highlight w:val="none"/>
          <w:lang w:val="zh-CN"/>
        </w:rPr>
      </w:pPr>
      <w:bookmarkStart w:id="594" w:name="_Toc66038557"/>
      <w:bookmarkStart w:id="595" w:name="_Toc66038282"/>
      <w:r>
        <w:rPr>
          <w:rFonts w:hint="eastAsia" w:ascii="宋体" w:hAnsi="宋体" w:cs="宋体"/>
          <w:kern w:val="0"/>
          <w:szCs w:val="21"/>
          <w:highlight w:val="none"/>
          <w:lang w:val="zh-CN"/>
        </w:rPr>
        <w:t>本合同执行期间，不因物价波动而进行合同价格调整。</w:t>
      </w:r>
      <w:bookmarkEnd w:id="594"/>
      <w:bookmarkEnd w:id="595"/>
    </w:p>
    <w:p>
      <w:pPr>
        <w:topLinePunct/>
        <w:spacing w:line="360" w:lineRule="auto"/>
        <w:outlineLvl w:val="1"/>
        <w:rPr>
          <w:rFonts w:ascii="宋体" w:hAnsi="宋体" w:cs="宋体"/>
          <w:kern w:val="0"/>
          <w:szCs w:val="21"/>
          <w:highlight w:val="none"/>
          <w:lang w:val="zh-CN"/>
        </w:rPr>
      </w:pPr>
      <w:bookmarkStart w:id="596" w:name="_Toc66038283"/>
      <w:bookmarkStart w:id="597" w:name="_Toc447823194"/>
      <w:bookmarkStart w:id="598" w:name="_Toc66038558"/>
      <w:bookmarkStart w:id="599" w:name="_Toc292198085"/>
      <w:bookmarkStart w:id="600" w:name="_Toc441828395"/>
      <w:bookmarkStart w:id="601" w:name="_Toc222029540"/>
      <w:bookmarkStart w:id="602" w:name="_Toc222032709"/>
      <w:bookmarkStart w:id="603" w:name="_Toc222031042"/>
      <w:bookmarkStart w:id="604" w:name="_Toc229305398"/>
      <w:bookmarkStart w:id="605" w:name="_Toc221951223"/>
      <w:bookmarkStart w:id="606" w:name="_Toc222033891"/>
      <w:r>
        <w:rPr>
          <w:rFonts w:hint="eastAsia" w:ascii="宋体" w:hAnsi="宋体" w:cs="宋体"/>
          <w:kern w:val="0"/>
          <w:szCs w:val="21"/>
          <w:highlight w:val="none"/>
          <w:lang w:val="zh-CN"/>
        </w:rPr>
        <w:t>16.2 法律变化引起的价格调整</w:t>
      </w:r>
      <w:bookmarkEnd w:id="596"/>
      <w:bookmarkEnd w:id="597"/>
      <w:bookmarkEnd w:id="598"/>
      <w:bookmarkEnd w:id="599"/>
      <w:bookmarkEnd w:id="600"/>
      <w:r>
        <w:rPr>
          <w:rFonts w:hint="eastAsia" w:ascii="宋体" w:hAnsi="宋体" w:cs="宋体"/>
          <w:kern w:val="0"/>
          <w:szCs w:val="21"/>
          <w:highlight w:val="none"/>
          <w:lang w:val="zh-CN"/>
        </w:rPr>
        <w:t xml:space="preserve">        </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在基准日期后，除考虑国家、省有关部门依据法律法规关于税金的调整政策外，本合同执行期间不进行合同价格调整。</w:t>
      </w:r>
    </w:p>
    <w:p>
      <w:pPr>
        <w:topLinePunct/>
        <w:spacing w:line="360" w:lineRule="auto"/>
        <w:jc w:val="left"/>
        <w:outlineLvl w:val="1"/>
        <w:rPr>
          <w:rFonts w:ascii="宋体" w:hAnsi="宋体" w:cs="Microsoft JhengHei"/>
          <w:b/>
          <w:bCs/>
          <w:kern w:val="0"/>
          <w:szCs w:val="21"/>
          <w:highlight w:val="none"/>
          <w:lang w:val="zh-CN"/>
        </w:rPr>
      </w:pPr>
      <w:bookmarkStart w:id="607" w:name="_Toc508279765"/>
      <w:bookmarkStart w:id="608" w:name="_Toc66038284"/>
      <w:bookmarkStart w:id="609" w:name="_Toc468952843"/>
      <w:bookmarkStart w:id="610" w:name="_Toc416870636"/>
      <w:bookmarkStart w:id="611" w:name="_Toc66038559"/>
      <w:bookmarkStart w:id="612" w:name="_Toc21622647"/>
      <w:r>
        <w:rPr>
          <w:rFonts w:hint="eastAsia" w:ascii="宋体" w:hAnsi="宋体" w:cs="Microsoft JhengHei"/>
          <w:b/>
          <w:bCs/>
          <w:kern w:val="0"/>
          <w:szCs w:val="21"/>
          <w:highlight w:val="none"/>
          <w:lang w:val="zh-CN"/>
        </w:rPr>
        <w:t>17. 计量与支付</w:t>
      </w:r>
      <w:bookmarkEnd w:id="601"/>
      <w:bookmarkEnd w:id="602"/>
      <w:bookmarkEnd w:id="603"/>
      <w:bookmarkEnd w:id="604"/>
      <w:bookmarkEnd w:id="605"/>
      <w:bookmarkEnd w:id="606"/>
      <w:bookmarkEnd w:id="607"/>
      <w:bookmarkEnd w:id="608"/>
      <w:bookmarkEnd w:id="609"/>
      <w:bookmarkEnd w:id="610"/>
      <w:bookmarkEnd w:id="611"/>
      <w:bookmarkEnd w:id="612"/>
    </w:p>
    <w:p>
      <w:pPr>
        <w:topLinePunct/>
        <w:spacing w:line="360" w:lineRule="auto"/>
        <w:jc w:val="left"/>
        <w:outlineLvl w:val="2"/>
        <w:rPr>
          <w:rFonts w:ascii="宋体" w:hAnsi="宋体" w:cs="宋体"/>
          <w:kern w:val="0"/>
          <w:szCs w:val="21"/>
          <w:highlight w:val="none"/>
          <w:lang w:val="zh-CN"/>
        </w:rPr>
      </w:pPr>
      <w:bookmarkStart w:id="613" w:name="_Toc21622648"/>
      <w:bookmarkStart w:id="614" w:name="_Toc221951224"/>
      <w:bookmarkStart w:id="615" w:name="_Toc66038560"/>
      <w:bookmarkStart w:id="616" w:name="_Toc66038285"/>
      <w:r>
        <w:rPr>
          <w:rFonts w:hint="eastAsia" w:ascii="宋体" w:hAnsi="宋体" w:cs="宋体"/>
          <w:kern w:val="0"/>
          <w:szCs w:val="21"/>
          <w:highlight w:val="none"/>
          <w:lang w:val="zh-CN"/>
        </w:rPr>
        <w:t>17.2</w:t>
      </w:r>
      <w:r>
        <w:rPr>
          <w:rFonts w:ascii="宋体" w:hAnsi="宋体" w:cs="宋体"/>
          <w:kern w:val="0"/>
          <w:szCs w:val="21"/>
          <w:highlight w:val="none"/>
          <w:lang w:val="zh-CN"/>
        </w:rPr>
        <w:t xml:space="preserve"> </w:t>
      </w:r>
      <w:r>
        <w:rPr>
          <w:rFonts w:hint="eastAsia" w:ascii="宋体" w:hAnsi="宋体" w:cs="宋体"/>
          <w:kern w:val="0"/>
          <w:szCs w:val="21"/>
          <w:highlight w:val="none"/>
          <w:lang w:val="zh-CN"/>
        </w:rPr>
        <w:t>预付款</w:t>
      </w:r>
      <w:bookmarkEnd w:id="613"/>
      <w:bookmarkEnd w:id="614"/>
      <w:bookmarkEnd w:id="615"/>
      <w:bookmarkEnd w:id="616"/>
    </w:p>
    <w:p>
      <w:pPr>
        <w:topLinePunct/>
        <w:spacing w:line="360" w:lineRule="auto"/>
        <w:ind w:firstLine="420" w:firstLineChars="200"/>
        <w:jc w:val="left"/>
        <w:rPr>
          <w:rFonts w:ascii="宋体" w:hAnsi="宋体" w:cs="宋体"/>
          <w:kern w:val="0"/>
          <w:szCs w:val="21"/>
          <w:highlight w:val="none"/>
          <w:lang w:val="zh-CN"/>
        </w:rPr>
      </w:pPr>
      <w:bookmarkStart w:id="617" w:name="_Toc366501484"/>
      <w:bookmarkStart w:id="618" w:name="_Toc366244573"/>
      <w:bookmarkStart w:id="619" w:name="_Toc366243513"/>
      <w:bookmarkStart w:id="620" w:name="_Toc366757985"/>
      <w:bookmarkStart w:id="621" w:name="_Toc366152651"/>
      <w:bookmarkStart w:id="622" w:name="_Toc364668656"/>
      <w:r>
        <w:rPr>
          <w:rFonts w:hint="eastAsia" w:ascii="宋体" w:hAnsi="宋体" w:cs="宋体"/>
          <w:kern w:val="0"/>
          <w:szCs w:val="21"/>
          <w:highlight w:val="none"/>
          <w:lang w:val="zh-CN"/>
        </w:rPr>
        <w:t>删去本款全文，并以代之：</w:t>
      </w:r>
      <w:bookmarkEnd w:id="617"/>
      <w:bookmarkEnd w:id="618"/>
      <w:bookmarkEnd w:id="619"/>
      <w:bookmarkEnd w:id="620"/>
      <w:bookmarkEnd w:id="621"/>
      <w:bookmarkEnd w:id="622"/>
      <w:bookmarkStart w:id="623" w:name="_Toc366243514"/>
      <w:bookmarkStart w:id="624" w:name="_Toc364668657"/>
      <w:bookmarkStart w:id="625" w:name="_Toc366501485"/>
      <w:bookmarkStart w:id="626" w:name="_Toc366757986"/>
      <w:bookmarkStart w:id="627" w:name="_Toc366152652"/>
      <w:bookmarkStart w:id="628" w:name="_Toc366244574"/>
      <w:r>
        <w:rPr>
          <w:rFonts w:hint="eastAsia" w:ascii="宋体" w:hAnsi="宋体" w:cs="宋体"/>
          <w:kern w:val="0"/>
          <w:szCs w:val="21"/>
          <w:highlight w:val="none"/>
          <w:lang w:val="zh-CN"/>
        </w:rPr>
        <w:t>本工程无任何预付款。</w:t>
      </w:r>
      <w:bookmarkEnd w:id="623"/>
      <w:bookmarkEnd w:id="624"/>
      <w:bookmarkEnd w:id="625"/>
      <w:bookmarkEnd w:id="626"/>
      <w:bookmarkEnd w:id="627"/>
      <w:bookmarkEnd w:id="628"/>
    </w:p>
    <w:p>
      <w:pPr>
        <w:topLinePunct/>
        <w:spacing w:line="360" w:lineRule="auto"/>
        <w:jc w:val="left"/>
        <w:outlineLvl w:val="2"/>
        <w:rPr>
          <w:rFonts w:ascii="宋体" w:hAnsi="宋体" w:cs="宋体"/>
          <w:kern w:val="0"/>
          <w:szCs w:val="21"/>
          <w:highlight w:val="none"/>
          <w:lang w:val="zh-CN"/>
        </w:rPr>
      </w:pPr>
      <w:bookmarkStart w:id="629" w:name="_Toc66038286"/>
      <w:bookmarkStart w:id="630" w:name="_Toc66038561"/>
      <w:bookmarkStart w:id="631" w:name="_Toc21622649"/>
      <w:r>
        <w:rPr>
          <w:rFonts w:hint="eastAsia" w:ascii="宋体" w:hAnsi="宋体" w:cs="宋体"/>
          <w:kern w:val="0"/>
          <w:szCs w:val="21"/>
          <w:highlight w:val="none"/>
          <w:lang w:val="zh-CN"/>
        </w:rPr>
        <w:t>17.3 工程进度付款</w:t>
      </w:r>
      <w:bookmarkEnd w:id="629"/>
      <w:bookmarkEnd w:id="630"/>
      <w:bookmarkEnd w:id="631"/>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w:t>
      </w:r>
      <w:r>
        <w:rPr>
          <w:rFonts w:ascii="宋体" w:hAnsi="宋体" w:cs="宋体"/>
          <w:kern w:val="0"/>
          <w:szCs w:val="21"/>
          <w:highlight w:val="none"/>
          <w:lang w:val="zh-CN"/>
        </w:rPr>
        <w:t xml:space="preserve">7.3.1 </w:t>
      </w:r>
      <w:r>
        <w:rPr>
          <w:rFonts w:hint="eastAsia" w:ascii="宋体" w:hAnsi="宋体" w:cs="宋体"/>
          <w:kern w:val="0"/>
          <w:szCs w:val="21"/>
          <w:highlight w:val="none"/>
          <w:lang w:val="zh-CN"/>
        </w:rPr>
        <w:t>本项补充如下内容：</w:t>
      </w:r>
    </w:p>
    <w:p>
      <w:pPr>
        <w:topLinePunct/>
        <w:spacing w:line="360" w:lineRule="auto"/>
        <w:jc w:val="left"/>
        <w:rPr>
          <w:rFonts w:ascii="宋体" w:hAnsi="宋体" w:cs="宋体"/>
          <w:kern w:val="0"/>
          <w:szCs w:val="21"/>
          <w:highlight w:val="none"/>
        </w:rPr>
      </w:pPr>
      <w:r>
        <w:rPr>
          <w:rFonts w:hint="eastAsia" w:ascii="宋体" w:hAnsi="宋体" w:cs="宋体"/>
          <w:kern w:val="0"/>
          <w:szCs w:val="21"/>
          <w:highlight w:val="none"/>
        </w:rPr>
        <w:t>在政府初步验收合格后一次性支付。</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w:t>
      </w:r>
      <w:r>
        <w:rPr>
          <w:rFonts w:ascii="宋体" w:hAnsi="宋体" w:cs="宋体"/>
          <w:kern w:val="0"/>
          <w:szCs w:val="21"/>
          <w:highlight w:val="none"/>
          <w:lang w:val="zh-CN"/>
        </w:rPr>
        <w:t xml:space="preserve">7.3.2 </w:t>
      </w:r>
      <w:r>
        <w:rPr>
          <w:rFonts w:hint="eastAsia" w:ascii="宋体" w:hAnsi="宋体" w:cs="宋体"/>
          <w:kern w:val="0"/>
          <w:szCs w:val="21"/>
          <w:highlight w:val="none"/>
          <w:lang w:val="zh-CN"/>
        </w:rPr>
        <w:t>进度付款申请单</w:t>
      </w:r>
    </w:p>
    <w:p>
      <w:pPr>
        <w:spacing w:line="360" w:lineRule="auto"/>
        <w:ind w:firstLine="420" w:firstLineChars="200"/>
        <w:rPr>
          <w:rFonts w:ascii="宋体" w:hAnsi="宋体" w:cs="TimesNewRomanPSMT"/>
          <w:kern w:val="0"/>
          <w:szCs w:val="21"/>
          <w:highlight w:val="none"/>
        </w:rPr>
      </w:pPr>
      <w:r>
        <w:rPr>
          <w:rFonts w:hint="eastAsia" w:ascii="宋体" w:hAnsi="宋体" w:cs="TimesNewRomanPSMT"/>
          <w:kern w:val="0"/>
          <w:szCs w:val="21"/>
          <w:highlight w:val="none"/>
        </w:rPr>
        <w:t>进度付款申请单份数：按监理人要求提供。</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17.3.3进度付款证书和支付时间</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highlight w:val="none"/>
        </w:rPr>
        <w:t>按工程进度付款，完成工程量的60%，支付合同价款的50%，工程完工并经合同验收合格后支付到合同价款的80%，工程竣工验收合格后按审计价结算剩余合同价款，</w:t>
      </w:r>
      <w:r>
        <w:rPr>
          <w:rFonts w:hint="eastAsia" w:ascii="宋体" w:hAnsi="宋体" w:cs="宋体"/>
          <w:szCs w:val="21"/>
          <w:highlight w:val="none"/>
        </w:rPr>
        <w:t>扣留</w:t>
      </w:r>
      <w:r>
        <w:rPr>
          <w:rFonts w:hint="eastAsia" w:ascii="宋体" w:hAnsi="宋体" w:cs="宋体"/>
          <w:highlight w:val="none"/>
          <w:lang w:val="en-US" w:eastAsia="zh-CN"/>
        </w:rPr>
        <w:t>2</w:t>
      </w:r>
      <w:r>
        <w:rPr>
          <w:rFonts w:hint="eastAsia" w:ascii="宋体" w:hAnsi="宋体" w:cs="宋体"/>
          <w:highlight w:val="none"/>
        </w:rPr>
        <w:t>%质保金在质保期（1年）结束后一次性付清，不计利息</w:t>
      </w:r>
      <w:r>
        <w:rPr>
          <w:rFonts w:hint="eastAsia"/>
          <w:szCs w:val="21"/>
          <w:highlight w:val="none"/>
        </w:rPr>
        <w:t>。</w:t>
      </w:r>
    </w:p>
    <w:p>
      <w:pPr>
        <w:topLinePunct/>
        <w:spacing w:line="360" w:lineRule="auto"/>
        <w:jc w:val="left"/>
        <w:outlineLvl w:val="2"/>
        <w:rPr>
          <w:rFonts w:ascii="宋体" w:hAnsi="宋体" w:cs="宋体"/>
          <w:kern w:val="0"/>
          <w:szCs w:val="21"/>
          <w:highlight w:val="none"/>
          <w:lang w:val="zh-CN"/>
        </w:rPr>
      </w:pPr>
      <w:bookmarkStart w:id="632" w:name="_Toc221951260"/>
      <w:bookmarkStart w:id="633" w:name="_Toc66038287"/>
      <w:bookmarkStart w:id="634" w:name="_Toc21622650"/>
      <w:bookmarkStart w:id="635" w:name="_Toc66038562"/>
      <w:r>
        <w:rPr>
          <w:rFonts w:ascii="宋体" w:hAnsi="宋体" w:cs="宋体"/>
          <w:kern w:val="0"/>
          <w:szCs w:val="21"/>
          <w:highlight w:val="none"/>
          <w:lang w:val="zh-CN"/>
        </w:rPr>
        <w:t>17</w:t>
      </w:r>
      <w:r>
        <w:rPr>
          <w:rFonts w:hint="eastAsia" w:ascii="宋体" w:hAnsi="宋体" w:cs="宋体"/>
          <w:kern w:val="0"/>
          <w:szCs w:val="21"/>
          <w:highlight w:val="none"/>
          <w:lang w:val="zh-CN"/>
        </w:rPr>
        <w:t>.</w:t>
      </w:r>
      <w:r>
        <w:rPr>
          <w:rFonts w:ascii="宋体" w:hAnsi="宋体" w:cs="宋体"/>
          <w:kern w:val="0"/>
          <w:szCs w:val="21"/>
          <w:highlight w:val="none"/>
          <w:lang w:val="zh-CN"/>
        </w:rPr>
        <w:t>4</w:t>
      </w:r>
      <w:r>
        <w:rPr>
          <w:rFonts w:hint="eastAsia" w:ascii="宋体" w:hAnsi="宋体" w:cs="宋体"/>
          <w:kern w:val="0"/>
          <w:szCs w:val="21"/>
          <w:highlight w:val="none"/>
          <w:lang w:val="zh-CN"/>
        </w:rPr>
        <w:t xml:space="preserve"> 质量保证金</w:t>
      </w:r>
      <w:bookmarkEnd w:id="632"/>
      <w:bookmarkEnd w:id="633"/>
      <w:bookmarkEnd w:id="634"/>
      <w:bookmarkEnd w:id="635"/>
    </w:p>
    <w:p>
      <w:pPr>
        <w:adjustRightInd w:val="0"/>
        <w:snapToGrid w:val="0"/>
        <w:spacing w:line="360" w:lineRule="auto"/>
        <w:ind w:right="248"/>
        <w:rPr>
          <w:rFonts w:hint="eastAsia" w:ascii="Times New Roman" w:hAnsi="Times New Roman" w:eastAsia="宋体"/>
          <w:bCs w:val="0"/>
          <w:color w:val="auto"/>
          <w:sz w:val="21"/>
          <w:szCs w:val="21"/>
          <w:highlight w:val="none"/>
        </w:rPr>
      </w:pPr>
      <w:bookmarkStart w:id="636" w:name="_Toc66038288"/>
      <w:bookmarkStart w:id="637" w:name="_Toc221951265"/>
      <w:bookmarkStart w:id="638" w:name="_Toc66038563"/>
      <w:bookmarkStart w:id="639" w:name="_Toc21622651"/>
      <w:r>
        <w:rPr>
          <w:rFonts w:hint="eastAsia" w:ascii="Times New Roman" w:hAnsi="Times New Roman" w:eastAsia="宋体"/>
          <w:bCs w:val="0"/>
          <w:color w:val="auto"/>
          <w:sz w:val="21"/>
          <w:szCs w:val="21"/>
          <w:highlight w:val="none"/>
        </w:rPr>
        <w:t>17.4.1扣留的质量保证金总额为</w:t>
      </w:r>
      <w:r>
        <w:rPr>
          <w:rFonts w:hint="eastAsia" w:ascii="Times New Roman" w:hAnsi="Times New Roman" w:eastAsia="宋体"/>
          <w:bCs w:val="0"/>
          <w:color w:val="auto"/>
          <w:sz w:val="21"/>
          <w:szCs w:val="21"/>
          <w:highlight w:val="none"/>
          <w:u w:val="single"/>
        </w:rPr>
        <w:t>审核后总价款的</w:t>
      </w:r>
      <w:r>
        <w:rPr>
          <w:rFonts w:hint="eastAsia" w:ascii="Times New Roman" w:hAnsi="Times New Roman" w:eastAsia="宋体"/>
          <w:bCs w:val="0"/>
          <w:color w:val="auto"/>
          <w:sz w:val="21"/>
          <w:szCs w:val="21"/>
          <w:highlight w:val="none"/>
          <w:u w:val="single"/>
          <w:lang w:val="en-US" w:eastAsia="zh-CN"/>
        </w:rPr>
        <w:t>2</w:t>
      </w:r>
      <w:r>
        <w:rPr>
          <w:rFonts w:hint="eastAsia" w:ascii="Times New Roman" w:hAnsi="Times New Roman" w:eastAsia="宋体"/>
          <w:bCs w:val="0"/>
          <w:color w:val="auto"/>
          <w:sz w:val="21"/>
          <w:szCs w:val="21"/>
          <w:highlight w:val="none"/>
          <w:u w:val="single"/>
        </w:rPr>
        <w:t>%</w:t>
      </w:r>
      <w:r>
        <w:rPr>
          <w:rFonts w:hint="eastAsia" w:ascii="Times New Roman" w:hAnsi="Times New Roman" w:eastAsia="宋体"/>
          <w:bCs w:val="0"/>
          <w:color w:val="auto"/>
          <w:sz w:val="21"/>
          <w:szCs w:val="21"/>
          <w:highlight w:val="none"/>
        </w:rPr>
        <w:t>。</w:t>
      </w:r>
    </w:p>
    <w:p>
      <w:pPr>
        <w:topLinePunct/>
        <w:spacing w:line="360" w:lineRule="auto"/>
        <w:jc w:val="left"/>
        <w:outlineLvl w:val="2"/>
        <w:rPr>
          <w:rFonts w:ascii="宋体" w:hAnsi="宋体" w:cs="宋体"/>
          <w:kern w:val="0"/>
          <w:szCs w:val="21"/>
          <w:highlight w:val="none"/>
          <w:lang w:val="zh-CN"/>
        </w:rPr>
      </w:pPr>
      <w:r>
        <w:rPr>
          <w:rFonts w:hint="eastAsia" w:ascii="宋体" w:hAnsi="宋体" w:cs="宋体"/>
          <w:kern w:val="0"/>
          <w:szCs w:val="21"/>
          <w:highlight w:val="none"/>
          <w:lang w:val="zh-CN"/>
        </w:rPr>
        <w:t>17.5 竣工（完工）结算</w:t>
      </w:r>
      <w:bookmarkEnd w:id="636"/>
      <w:bookmarkEnd w:id="637"/>
      <w:bookmarkEnd w:id="638"/>
      <w:bookmarkEnd w:id="639"/>
    </w:p>
    <w:p>
      <w:pPr>
        <w:topLinePunct/>
        <w:spacing w:line="360" w:lineRule="auto"/>
        <w:jc w:val="left"/>
        <w:rPr>
          <w:rFonts w:ascii="宋体" w:hAnsi="宋体" w:cs="宋体"/>
          <w:kern w:val="0"/>
          <w:szCs w:val="21"/>
          <w:highlight w:val="none"/>
          <w:lang w:val="zh-CN"/>
        </w:rPr>
      </w:pPr>
      <w:bookmarkStart w:id="640" w:name="_Toc221951266"/>
      <w:r>
        <w:rPr>
          <w:rFonts w:ascii="宋体" w:hAnsi="宋体" w:cs="宋体"/>
          <w:kern w:val="0"/>
          <w:szCs w:val="21"/>
          <w:highlight w:val="none"/>
          <w:lang w:val="zh-CN"/>
        </w:rPr>
        <w:t>17</w:t>
      </w:r>
      <w:r>
        <w:rPr>
          <w:rFonts w:hint="eastAsia" w:ascii="宋体" w:hAnsi="宋体" w:cs="宋体"/>
          <w:kern w:val="0"/>
          <w:szCs w:val="21"/>
          <w:highlight w:val="none"/>
          <w:lang w:val="zh-CN"/>
        </w:rPr>
        <w:t>.</w:t>
      </w:r>
      <w:r>
        <w:rPr>
          <w:rFonts w:ascii="宋体" w:hAnsi="宋体" w:cs="宋体"/>
          <w:kern w:val="0"/>
          <w:szCs w:val="21"/>
          <w:highlight w:val="none"/>
          <w:lang w:val="zh-CN"/>
        </w:rPr>
        <w:t>5</w:t>
      </w:r>
      <w:r>
        <w:rPr>
          <w:rFonts w:hint="eastAsia" w:ascii="宋体" w:hAnsi="宋体" w:cs="宋体"/>
          <w:kern w:val="0"/>
          <w:szCs w:val="21"/>
          <w:highlight w:val="none"/>
          <w:lang w:val="zh-CN"/>
        </w:rPr>
        <w:t>.</w:t>
      </w:r>
      <w:r>
        <w:rPr>
          <w:rFonts w:ascii="宋体" w:hAnsi="宋体" w:cs="宋体"/>
          <w:kern w:val="0"/>
          <w:szCs w:val="21"/>
          <w:highlight w:val="none"/>
          <w:lang w:val="zh-CN"/>
        </w:rPr>
        <w:t>1</w:t>
      </w:r>
      <w:r>
        <w:rPr>
          <w:rFonts w:hint="eastAsia" w:ascii="宋体" w:hAnsi="宋体" w:cs="宋体"/>
          <w:kern w:val="0"/>
          <w:szCs w:val="21"/>
          <w:highlight w:val="none"/>
          <w:lang w:val="zh-CN"/>
        </w:rPr>
        <w:t xml:space="preserve"> 竣工（完工）付款申请单</w:t>
      </w:r>
      <w:bookmarkEnd w:id="640"/>
      <w:r>
        <w:rPr>
          <w:rFonts w:hint="eastAsia" w:ascii="宋体" w:hAnsi="宋体" w:cs="宋体"/>
          <w:kern w:val="0"/>
          <w:szCs w:val="21"/>
          <w:highlight w:val="none"/>
          <w:lang w:val="zh-CN"/>
        </w:rPr>
        <w:t xml:space="preserve"> </w:t>
      </w:r>
    </w:p>
    <w:p>
      <w:pPr>
        <w:topLinePunct/>
        <w:spacing w:line="360" w:lineRule="auto"/>
        <w:ind w:firstLine="420" w:firstLineChars="200"/>
        <w:jc w:val="left"/>
        <w:rPr>
          <w:rFonts w:ascii="宋体" w:hAnsi="宋体" w:cs="宋体"/>
          <w:kern w:val="0"/>
          <w:szCs w:val="21"/>
          <w:highlight w:val="none"/>
          <w:lang w:val="zh-CN"/>
        </w:rPr>
      </w:pPr>
      <w:bookmarkStart w:id="641" w:name="_Toc221951267"/>
      <w:r>
        <w:rPr>
          <w:rFonts w:hint="eastAsia" w:ascii="宋体" w:hAnsi="宋体" w:cs="宋体"/>
          <w:kern w:val="0"/>
          <w:szCs w:val="21"/>
          <w:highlight w:val="none"/>
          <w:lang w:val="zh-CN"/>
        </w:rPr>
        <w:t>（1）承包人应提交完工付款申请单份数：</w:t>
      </w:r>
      <w:r>
        <w:rPr>
          <w:rFonts w:hint="eastAsia" w:ascii="宋体" w:hAnsi="宋体" w:cs="TimesNewRomanPSMT"/>
          <w:kern w:val="0"/>
          <w:szCs w:val="21"/>
          <w:highlight w:val="none"/>
          <w:u w:val="single"/>
        </w:rPr>
        <w:t>按发包人及监理人要求</w:t>
      </w:r>
      <w:r>
        <w:rPr>
          <w:rFonts w:hint="eastAsia" w:ascii="宋体" w:hAnsi="宋体" w:cs="宋体"/>
          <w:kern w:val="0"/>
          <w:szCs w:val="21"/>
          <w:highlight w:val="none"/>
          <w:lang w:val="zh-CN"/>
        </w:rPr>
        <w:t>。</w:t>
      </w:r>
      <w:bookmarkEnd w:id="641"/>
    </w:p>
    <w:p>
      <w:pPr>
        <w:topLinePunct/>
        <w:spacing w:line="360" w:lineRule="auto"/>
        <w:jc w:val="left"/>
        <w:outlineLvl w:val="2"/>
        <w:rPr>
          <w:rFonts w:ascii="宋体" w:hAnsi="宋体" w:cs="宋体"/>
          <w:kern w:val="0"/>
          <w:szCs w:val="21"/>
          <w:highlight w:val="none"/>
          <w:lang w:val="zh-CN"/>
        </w:rPr>
      </w:pPr>
      <w:bookmarkStart w:id="642" w:name="_Toc66038289"/>
      <w:bookmarkStart w:id="643" w:name="_Toc221951268"/>
      <w:bookmarkStart w:id="644" w:name="_Toc21622652"/>
      <w:bookmarkStart w:id="645" w:name="_Toc66038564"/>
      <w:r>
        <w:rPr>
          <w:rFonts w:hint="eastAsia" w:ascii="宋体" w:hAnsi="宋体" w:cs="宋体"/>
          <w:kern w:val="0"/>
          <w:szCs w:val="21"/>
          <w:highlight w:val="none"/>
          <w:lang w:val="zh-CN"/>
        </w:rPr>
        <w:t>17.6 最终结清</w:t>
      </w:r>
      <w:bookmarkEnd w:id="642"/>
      <w:bookmarkEnd w:id="643"/>
      <w:bookmarkEnd w:id="644"/>
      <w:bookmarkEnd w:id="645"/>
    </w:p>
    <w:p>
      <w:pPr>
        <w:topLinePunct/>
        <w:spacing w:line="360" w:lineRule="auto"/>
        <w:jc w:val="left"/>
        <w:rPr>
          <w:rFonts w:ascii="宋体" w:hAnsi="宋体" w:cs="宋体"/>
          <w:kern w:val="0"/>
          <w:szCs w:val="21"/>
          <w:highlight w:val="none"/>
          <w:lang w:val="zh-CN"/>
        </w:rPr>
      </w:pPr>
      <w:bookmarkStart w:id="646" w:name="_Toc221951269"/>
      <w:r>
        <w:rPr>
          <w:rFonts w:ascii="宋体" w:hAnsi="宋体" w:cs="宋体"/>
          <w:kern w:val="0"/>
          <w:szCs w:val="21"/>
          <w:highlight w:val="none"/>
          <w:lang w:val="zh-CN"/>
        </w:rPr>
        <w:t>17</w:t>
      </w:r>
      <w:r>
        <w:rPr>
          <w:rFonts w:hint="eastAsia" w:ascii="宋体" w:hAnsi="宋体" w:cs="宋体"/>
          <w:kern w:val="0"/>
          <w:szCs w:val="21"/>
          <w:highlight w:val="none"/>
          <w:lang w:val="zh-CN"/>
        </w:rPr>
        <w:t>.</w:t>
      </w:r>
      <w:r>
        <w:rPr>
          <w:rFonts w:ascii="宋体" w:hAnsi="宋体" w:cs="宋体"/>
          <w:kern w:val="0"/>
          <w:szCs w:val="21"/>
          <w:highlight w:val="none"/>
          <w:lang w:val="zh-CN"/>
        </w:rPr>
        <w:t>6</w:t>
      </w:r>
      <w:r>
        <w:rPr>
          <w:rFonts w:hint="eastAsia" w:ascii="宋体" w:hAnsi="宋体" w:cs="宋体"/>
          <w:kern w:val="0"/>
          <w:szCs w:val="21"/>
          <w:highlight w:val="none"/>
          <w:lang w:val="zh-CN"/>
        </w:rPr>
        <w:t xml:space="preserve"> </w:t>
      </w:r>
      <w:r>
        <w:rPr>
          <w:rFonts w:ascii="宋体" w:hAnsi="宋体" w:cs="宋体"/>
          <w:kern w:val="0"/>
          <w:szCs w:val="21"/>
          <w:highlight w:val="none"/>
          <w:lang w:val="zh-CN"/>
        </w:rPr>
        <w:t>1</w:t>
      </w:r>
      <w:r>
        <w:rPr>
          <w:rFonts w:hint="eastAsia" w:ascii="宋体" w:hAnsi="宋体" w:cs="宋体"/>
          <w:kern w:val="0"/>
          <w:szCs w:val="21"/>
          <w:highlight w:val="none"/>
          <w:lang w:val="zh-CN"/>
        </w:rPr>
        <w:t xml:space="preserve"> 最终结清申请单</w:t>
      </w:r>
      <w:bookmarkEnd w:id="646"/>
    </w:p>
    <w:p>
      <w:pPr>
        <w:topLinePunct/>
        <w:spacing w:line="360" w:lineRule="auto"/>
        <w:ind w:firstLine="420" w:firstLineChars="200"/>
        <w:jc w:val="left"/>
        <w:rPr>
          <w:rFonts w:ascii="宋体" w:hAnsi="宋体" w:cs="宋体"/>
          <w:kern w:val="0"/>
          <w:szCs w:val="21"/>
          <w:highlight w:val="none"/>
          <w:lang w:val="zh-CN"/>
        </w:rPr>
      </w:pPr>
      <w:bookmarkStart w:id="647" w:name="_Toc221951270"/>
      <w:r>
        <w:rPr>
          <w:rFonts w:hint="eastAsia" w:ascii="宋体" w:hAnsi="宋体" w:cs="宋体"/>
          <w:kern w:val="0"/>
          <w:szCs w:val="21"/>
          <w:highlight w:val="none"/>
          <w:lang w:val="zh-CN"/>
        </w:rPr>
        <w:t>（1）承包人应提交最终结清申请单</w:t>
      </w:r>
      <w:bookmarkEnd w:id="647"/>
      <w:r>
        <w:rPr>
          <w:rFonts w:hint="eastAsia" w:ascii="宋体" w:hAnsi="宋体" w:cs="宋体"/>
          <w:kern w:val="0"/>
          <w:szCs w:val="21"/>
          <w:highlight w:val="none"/>
          <w:lang w:val="zh-CN"/>
        </w:rPr>
        <w:t>份数：</w:t>
      </w:r>
      <w:r>
        <w:rPr>
          <w:rFonts w:hint="eastAsia" w:ascii="宋体" w:hAnsi="宋体" w:cs="TimesNewRomanPSMT"/>
          <w:kern w:val="0"/>
          <w:szCs w:val="21"/>
          <w:highlight w:val="none"/>
          <w:u w:val="single"/>
        </w:rPr>
        <w:t>按发包人及监理人要求</w:t>
      </w:r>
      <w:r>
        <w:rPr>
          <w:rFonts w:hint="eastAsia" w:ascii="宋体" w:hAnsi="宋体" w:cs="宋体"/>
          <w:kern w:val="0"/>
          <w:szCs w:val="21"/>
          <w:highlight w:val="none"/>
          <w:lang w:val="zh-CN"/>
        </w:rPr>
        <w:t>。</w:t>
      </w:r>
    </w:p>
    <w:p>
      <w:pPr>
        <w:topLinePunct/>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17.7 竣工财务决算</w:t>
      </w:r>
    </w:p>
    <w:p>
      <w:pPr>
        <w:topLinePunct/>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承包人应为竣工财务决算编制提供的资料：</w:t>
      </w:r>
      <w:r>
        <w:rPr>
          <w:rFonts w:hint="eastAsia" w:ascii="宋体" w:hAnsi="宋体" w:cs="TimesNewRomanPSMT"/>
          <w:kern w:val="0"/>
          <w:szCs w:val="21"/>
          <w:highlight w:val="none"/>
          <w:u w:val="single"/>
        </w:rPr>
        <w:t>按发包人及监理人要求</w:t>
      </w:r>
      <w:r>
        <w:rPr>
          <w:rFonts w:hint="eastAsia" w:ascii="宋体" w:hAnsi="宋体" w:cs="宋体"/>
          <w:kern w:val="0"/>
          <w:szCs w:val="21"/>
          <w:highlight w:val="none"/>
          <w:lang w:val="zh-CN"/>
        </w:rPr>
        <w:t xml:space="preserve"> 。</w:t>
      </w:r>
    </w:p>
    <w:p>
      <w:pPr>
        <w:topLinePunct/>
        <w:spacing w:line="360" w:lineRule="auto"/>
        <w:jc w:val="left"/>
        <w:outlineLvl w:val="1"/>
        <w:rPr>
          <w:rFonts w:ascii="宋体" w:hAnsi="宋体" w:cs="Microsoft JhengHei"/>
          <w:b/>
          <w:bCs/>
          <w:kern w:val="0"/>
          <w:szCs w:val="21"/>
          <w:highlight w:val="none"/>
          <w:lang w:val="zh-CN"/>
        </w:rPr>
      </w:pPr>
      <w:bookmarkStart w:id="648" w:name="_Toc222029541"/>
      <w:bookmarkStart w:id="649" w:name="_Toc229305399"/>
      <w:bookmarkStart w:id="650" w:name="_Toc222031043"/>
      <w:bookmarkStart w:id="651" w:name="_Toc222032710"/>
      <w:bookmarkStart w:id="652" w:name="_Toc221951271"/>
      <w:bookmarkStart w:id="653" w:name="_Toc222033892"/>
      <w:bookmarkStart w:id="654" w:name="_Toc468952844"/>
      <w:bookmarkStart w:id="655" w:name="_Toc416870637"/>
      <w:bookmarkStart w:id="656" w:name="_Toc66038290"/>
      <w:bookmarkStart w:id="657" w:name="_Toc508279766"/>
      <w:bookmarkStart w:id="658" w:name="_Toc21622653"/>
      <w:bookmarkStart w:id="659" w:name="_Toc66038565"/>
      <w:r>
        <w:rPr>
          <w:rFonts w:hint="eastAsia" w:ascii="宋体" w:hAnsi="宋体" w:cs="Microsoft JhengHei"/>
          <w:b/>
          <w:bCs/>
          <w:kern w:val="0"/>
          <w:szCs w:val="21"/>
          <w:highlight w:val="none"/>
          <w:lang w:val="zh-CN"/>
        </w:rPr>
        <w:t>18. 竣工验收</w:t>
      </w:r>
      <w:bookmarkEnd w:id="648"/>
      <w:bookmarkEnd w:id="649"/>
      <w:bookmarkEnd w:id="650"/>
      <w:bookmarkEnd w:id="651"/>
      <w:bookmarkEnd w:id="652"/>
      <w:bookmarkEnd w:id="653"/>
      <w:r>
        <w:rPr>
          <w:rFonts w:hint="eastAsia" w:ascii="宋体" w:hAnsi="宋体" w:cs="Microsoft JhengHei"/>
          <w:b/>
          <w:bCs/>
          <w:kern w:val="0"/>
          <w:szCs w:val="21"/>
          <w:highlight w:val="none"/>
          <w:lang w:val="zh-CN"/>
        </w:rPr>
        <w:t>（验收）</w:t>
      </w:r>
      <w:bookmarkEnd w:id="654"/>
      <w:bookmarkEnd w:id="655"/>
      <w:bookmarkEnd w:id="656"/>
      <w:bookmarkEnd w:id="657"/>
      <w:bookmarkEnd w:id="658"/>
      <w:bookmarkEnd w:id="659"/>
    </w:p>
    <w:p>
      <w:pPr>
        <w:topLinePunct/>
        <w:spacing w:line="360" w:lineRule="auto"/>
        <w:outlineLvl w:val="1"/>
        <w:rPr>
          <w:rFonts w:ascii="宋体" w:hAnsi="宋体" w:cs="宋体"/>
          <w:kern w:val="0"/>
          <w:szCs w:val="21"/>
          <w:highlight w:val="none"/>
          <w:lang w:val="zh-CN"/>
        </w:rPr>
      </w:pPr>
      <w:bookmarkStart w:id="660" w:name="_Toc66038566"/>
      <w:bookmarkStart w:id="661" w:name="_Toc447823203"/>
      <w:bookmarkStart w:id="662" w:name="_Toc66038291"/>
      <w:bookmarkStart w:id="663" w:name="_Toc441828404"/>
      <w:bookmarkStart w:id="664" w:name="_Toc272502647"/>
      <w:bookmarkStart w:id="665" w:name="_Toc292198096"/>
      <w:r>
        <w:rPr>
          <w:rFonts w:hint="eastAsia" w:ascii="宋体" w:hAnsi="宋体" w:cs="宋体"/>
          <w:kern w:val="0"/>
          <w:szCs w:val="21"/>
          <w:highlight w:val="none"/>
          <w:lang w:val="zh-CN"/>
        </w:rPr>
        <w:t>18.1 验收工作分类</w:t>
      </w:r>
    </w:p>
    <w:p>
      <w:pPr>
        <w:topLinePunct/>
        <w:spacing w:line="360" w:lineRule="auto"/>
        <w:ind w:firstLine="420" w:firstLineChars="200"/>
        <w:jc w:val="left"/>
        <w:outlineLvl w:val="1"/>
        <w:rPr>
          <w:rFonts w:ascii="宋体" w:hAnsi="宋体" w:cs="宋体"/>
          <w:kern w:val="0"/>
          <w:szCs w:val="21"/>
          <w:lang w:val="zh-CN"/>
        </w:rPr>
      </w:pPr>
      <w:bookmarkStart w:id="666" w:name="_Toc66038567"/>
      <w:bookmarkStart w:id="667" w:name="_Toc66038292"/>
      <w:r>
        <w:rPr>
          <w:rFonts w:hint="eastAsia" w:ascii="Microsoft JhengHei" w:hAnsi="Microsoft JhengHei" w:cs="Microsoft JhengHei"/>
          <w:kern w:val="0"/>
          <w:szCs w:val="21"/>
          <w:highlight w:val="none"/>
          <w:lang w:val="zh-CN"/>
        </w:rPr>
        <w:t>本工程法人验收包括：分部工程验收、单位工程</w:t>
      </w:r>
      <w:r>
        <w:rPr>
          <w:rFonts w:hint="eastAsia" w:ascii="宋体" w:hAnsi="宋体" w:cs="宋体"/>
          <w:kern w:val="0"/>
          <w:szCs w:val="21"/>
          <w:highlight w:val="none"/>
          <w:lang w:val="zh-CN"/>
        </w:rPr>
        <w:t>验收、合同</w:t>
      </w:r>
      <w:r>
        <w:rPr>
          <w:rFonts w:hint="eastAsia" w:ascii="Microsoft JhengHei" w:hAnsi="Microsoft JhengHei" w:cs="Microsoft JhengHei"/>
          <w:kern w:val="0"/>
          <w:szCs w:val="21"/>
          <w:highlight w:val="none"/>
          <w:lang w:val="zh-CN"/>
        </w:rPr>
        <w:t>工程完工</w:t>
      </w:r>
      <w:r>
        <w:rPr>
          <w:rFonts w:hint="eastAsia" w:ascii="宋体" w:hAnsi="宋体" w:cs="宋体"/>
          <w:kern w:val="0"/>
          <w:szCs w:val="21"/>
          <w:highlight w:val="none"/>
          <w:lang w:val="zh-CN"/>
        </w:rPr>
        <w:t>验收</w:t>
      </w:r>
      <w:r>
        <w:rPr>
          <w:rFonts w:hint="eastAsia" w:ascii="Microsoft JhengHei" w:hAnsi="Microsoft JhengHei" w:cs="Microsoft JhengHei"/>
          <w:kern w:val="0"/>
          <w:szCs w:val="21"/>
          <w:highlight w:val="none"/>
          <w:lang w:val="zh-CN"/>
        </w:rPr>
        <w:t>；政府验收包括：</w:t>
      </w:r>
      <w:r>
        <w:rPr>
          <w:rFonts w:hint="eastAsia" w:ascii="宋体" w:hAnsi="宋体" w:cs="宋体"/>
          <w:kern w:val="0"/>
          <w:szCs w:val="21"/>
          <w:highlight w:val="none"/>
          <w:lang w:val="zh-CN"/>
        </w:rPr>
        <w:t>竣工验收</w:t>
      </w:r>
      <w:r>
        <w:rPr>
          <w:rFonts w:hint="eastAsia" w:ascii="Microsoft JhengHei" w:hAnsi="Microsoft JhengHei" w:cs="Microsoft JhengHei"/>
          <w:kern w:val="0"/>
          <w:szCs w:val="21"/>
          <w:highlight w:val="none"/>
          <w:lang w:val="zh-CN"/>
        </w:rPr>
        <w:t>。验收条件和验收程序：按现行《水利水电建设工程验收规程</w:t>
      </w:r>
      <w:r>
        <w:rPr>
          <w:rFonts w:hint="eastAsia" w:ascii="Microsoft JhengHei" w:hAnsi="Microsoft JhengHei" w:cs="Microsoft JhengHei"/>
          <w:kern w:val="0"/>
          <w:szCs w:val="21"/>
          <w:lang w:val="zh-CN"/>
        </w:rPr>
        <w:t>》的规定执行。</w:t>
      </w:r>
      <w:bookmarkEnd w:id="666"/>
      <w:bookmarkEnd w:id="667"/>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18.2</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分部工程验收</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18.2.2</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本工程全部分部工程验收由监理人主持</w:t>
      </w:r>
      <w:r>
        <w:rPr>
          <w:rFonts w:ascii="宋体" w:hAnsi="宋体" w:eastAsia="Times New Roman" w:cs="宋体"/>
          <w:bCs/>
          <w:kern w:val="0"/>
          <w:szCs w:val="21"/>
          <w:lang w:val="zh-CN"/>
        </w:rPr>
        <w:t>。</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18.3</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单位工程验收</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18.3.4  提前投入使用的单位工程包括：</w:t>
      </w:r>
      <w:r>
        <w:rPr>
          <w:rFonts w:hint="eastAsia" w:ascii="宋体" w:hAnsi="宋体" w:eastAsia="Times New Roman" w:cs="宋体"/>
          <w:bCs/>
          <w:kern w:val="0"/>
          <w:szCs w:val="21"/>
          <w:u w:val="single"/>
          <w:lang w:val="zh-CN"/>
        </w:rPr>
        <w:t xml:space="preserve">   </w:t>
      </w:r>
      <w:r>
        <w:rPr>
          <w:rFonts w:hint="eastAsia" w:ascii="宋体" w:hAnsi="宋体" w:cs="宋体"/>
          <w:bCs/>
          <w:kern w:val="0"/>
          <w:szCs w:val="21"/>
          <w:u w:val="single"/>
          <w:lang w:val="zh-CN"/>
        </w:rPr>
        <w:t>无</w:t>
      </w:r>
      <w:r>
        <w:rPr>
          <w:rFonts w:hint="eastAsia" w:ascii="宋体" w:hAnsi="宋体" w:eastAsia="Times New Roman" w:cs="宋体"/>
          <w:bCs/>
          <w:kern w:val="0"/>
          <w:szCs w:val="21"/>
          <w:u w:val="single"/>
          <w:lang w:val="zh-CN"/>
        </w:rPr>
        <w:t xml:space="preserve">    </w:t>
      </w:r>
      <w:r>
        <w:rPr>
          <w:rFonts w:hint="eastAsia" w:ascii="宋体" w:hAnsi="宋体" w:eastAsia="Times New Roman" w:cs="宋体"/>
          <w:bCs/>
          <w:kern w:val="0"/>
          <w:szCs w:val="21"/>
          <w:lang w:val="zh-CN"/>
        </w:rPr>
        <w:t>。</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18.5</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阶段验收</w:t>
      </w:r>
    </w:p>
    <w:p>
      <w:pPr>
        <w:topLinePunct/>
        <w:spacing w:line="360" w:lineRule="auto"/>
        <w:jc w:val="left"/>
        <w:rPr>
          <w:rFonts w:ascii="宋体" w:hAnsi="宋体" w:eastAsia="Times New Roman" w:cs="宋体"/>
          <w:bCs/>
          <w:kern w:val="0"/>
          <w:szCs w:val="21"/>
          <w:lang w:val="zh-CN"/>
        </w:rPr>
      </w:pPr>
      <w:bookmarkStart w:id="668" w:name="_Toc221951283"/>
      <w:r>
        <w:rPr>
          <w:rFonts w:hint="eastAsia" w:ascii="宋体" w:hAnsi="宋体" w:eastAsia="Times New Roman" w:cs="宋体"/>
          <w:bCs/>
          <w:kern w:val="0"/>
          <w:szCs w:val="21"/>
          <w:lang w:val="zh-CN"/>
        </w:rPr>
        <w:t>18.5.1 本合同工程阶段验收类别包括：</w:t>
      </w:r>
      <w:bookmarkEnd w:id="668"/>
      <w:bookmarkStart w:id="669" w:name="_Toc221951284"/>
      <w:r>
        <w:rPr>
          <w:rFonts w:hint="eastAsia" w:ascii="宋体" w:hAnsi="宋体" w:eastAsia="Times New Roman" w:cs="宋体"/>
          <w:kern w:val="0"/>
          <w:sz w:val="22"/>
          <w:u w:val="single"/>
          <w:lang w:val="zh-CN"/>
        </w:rPr>
        <w:t xml:space="preserve">  根据工程建设需要增加的其它验收  </w:t>
      </w:r>
      <w:r>
        <w:rPr>
          <w:rFonts w:hint="eastAsia" w:ascii="宋体" w:hAnsi="宋体" w:eastAsia="Times New Roman" w:cs="宋体"/>
          <w:bCs/>
          <w:kern w:val="0"/>
          <w:szCs w:val="21"/>
          <w:lang w:val="zh-CN"/>
        </w:rPr>
        <w:t>。</w:t>
      </w:r>
      <w:bookmarkEnd w:id="669"/>
    </w:p>
    <w:p>
      <w:pPr>
        <w:topLinePunct/>
        <w:spacing w:line="360" w:lineRule="auto"/>
        <w:jc w:val="left"/>
        <w:rPr>
          <w:rFonts w:ascii="宋体" w:hAnsi="宋体" w:eastAsia="Times New Roman" w:cs="宋体"/>
          <w:bCs/>
          <w:kern w:val="0"/>
          <w:szCs w:val="21"/>
          <w:lang w:val="zh-CN"/>
        </w:rPr>
      </w:pPr>
      <w:bookmarkStart w:id="670" w:name="_Toc221951285"/>
      <w:r>
        <w:rPr>
          <w:rFonts w:hint="eastAsia" w:ascii="宋体" w:hAnsi="宋体" w:eastAsia="Times New Roman" w:cs="宋体"/>
          <w:bCs/>
          <w:kern w:val="0"/>
          <w:szCs w:val="21"/>
          <w:lang w:val="zh-CN"/>
        </w:rPr>
        <w:t>18.6</w:t>
      </w:r>
      <w:bookmarkEnd w:id="670"/>
      <w:r>
        <w:rPr>
          <w:rFonts w:hint="eastAsia" w:ascii="宋体" w:hAnsi="宋体" w:eastAsia="Times New Roman" w:cs="宋体"/>
          <w:bCs/>
          <w:kern w:val="0"/>
          <w:szCs w:val="21"/>
          <w:lang w:val="zh-CN"/>
        </w:rPr>
        <w:t xml:space="preserve">专项验收   </w:t>
      </w:r>
    </w:p>
    <w:p>
      <w:pPr>
        <w:topLinePunct/>
        <w:spacing w:line="360" w:lineRule="auto"/>
        <w:jc w:val="left"/>
        <w:rPr>
          <w:rFonts w:ascii="宋体" w:hAnsi="宋体" w:eastAsia="Times New Roman" w:cs="宋体"/>
          <w:bCs/>
          <w:kern w:val="0"/>
          <w:szCs w:val="21"/>
          <w:lang w:val="zh-CN"/>
        </w:rPr>
      </w:pPr>
      <w:bookmarkStart w:id="671" w:name="_Toc221951286"/>
      <w:r>
        <w:rPr>
          <w:rFonts w:hint="eastAsia" w:ascii="宋体" w:hAnsi="宋体" w:eastAsia="Times New Roman" w:cs="宋体"/>
          <w:bCs/>
          <w:kern w:val="0"/>
          <w:szCs w:val="21"/>
          <w:lang w:val="zh-CN"/>
        </w:rPr>
        <w:t xml:space="preserve">18.6.2 </w:t>
      </w:r>
      <w:bookmarkEnd w:id="671"/>
      <w:r>
        <w:rPr>
          <w:rFonts w:hint="eastAsia" w:ascii="宋体" w:hAnsi="宋体" w:eastAsia="Times New Roman" w:cs="宋体"/>
          <w:bCs/>
          <w:kern w:val="0"/>
          <w:szCs w:val="21"/>
          <w:lang w:val="zh-CN"/>
        </w:rPr>
        <w:t>本合同工程专项验收类别包括：</w:t>
      </w:r>
      <w:r>
        <w:rPr>
          <w:rFonts w:hint="eastAsia" w:ascii="宋体" w:hAnsi="宋体" w:eastAsia="Times New Roman" w:cs="宋体"/>
          <w:kern w:val="0"/>
          <w:sz w:val="22"/>
          <w:u w:val="single"/>
          <w:lang w:val="zh-CN"/>
        </w:rPr>
        <w:t>档案验收、水土保持验收、环境保护验收</w:t>
      </w:r>
      <w:r>
        <w:rPr>
          <w:rFonts w:hint="eastAsia" w:ascii="宋体" w:hAnsi="宋体" w:eastAsia="Times New Roman" w:cs="宋体"/>
          <w:bCs/>
          <w:kern w:val="0"/>
          <w:szCs w:val="21"/>
          <w:lang w:val="zh-CN"/>
        </w:rPr>
        <w:t>。</w:t>
      </w:r>
    </w:p>
    <w:p>
      <w:pPr>
        <w:topLinePunct/>
        <w:spacing w:line="360" w:lineRule="auto"/>
        <w:jc w:val="left"/>
        <w:rPr>
          <w:rFonts w:ascii="宋体" w:hAnsi="宋体" w:eastAsia="Times New Roman" w:cs="宋体"/>
          <w:bCs/>
          <w:kern w:val="0"/>
          <w:szCs w:val="21"/>
          <w:lang w:val="zh-CN"/>
        </w:rPr>
      </w:pPr>
      <w:bookmarkStart w:id="672" w:name="_Toc221951289"/>
      <w:r>
        <w:rPr>
          <w:rFonts w:hint="eastAsia" w:ascii="宋体" w:hAnsi="宋体" w:eastAsia="Times New Roman" w:cs="宋体"/>
          <w:bCs/>
          <w:kern w:val="0"/>
          <w:szCs w:val="21"/>
          <w:lang w:val="zh-CN"/>
        </w:rPr>
        <w:t>18.7 竣工</w:t>
      </w:r>
      <w:bookmarkEnd w:id="672"/>
      <w:r>
        <w:rPr>
          <w:rFonts w:hint="eastAsia" w:ascii="宋体" w:hAnsi="宋体" w:eastAsia="Times New Roman" w:cs="宋体"/>
          <w:bCs/>
          <w:kern w:val="0"/>
          <w:szCs w:val="21"/>
          <w:lang w:val="zh-CN"/>
        </w:rPr>
        <w:t>验收</w:t>
      </w:r>
    </w:p>
    <w:p>
      <w:pPr>
        <w:topLinePunct/>
        <w:spacing w:line="360" w:lineRule="auto"/>
        <w:jc w:val="left"/>
        <w:rPr>
          <w:rFonts w:ascii="宋体" w:hAnsi="宋体" w:eastAsia="Times New Roman" w:cs="宋体"/>
          <w:bCs/>
          <w:kern w:val="0"/>
          <w:szCs w:val="21"/>
          <w:lang w:val="zh-CN"/>
        </w:rPr>
      </w:pPr>
      <w:bookmarkStart w:id="673" w:name="_Toc221951290"/>
      <w:r>
        <w:rPr>
          <w:rFonts w:hint="eastAsia" w:ascii="宋体" w:hAnsi="宋体" w:eastAsia="Times New Roman" w:cs="宋体"/>
          <w:bCs/>
          <w:kern w:val="0"/>
          <w:szCs w:val="21"/>
          <w:lang w:val="zh-CN"/>
        </w:rPr>
        <w:t>18.7.3</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本工程不需要竣工验收技术鉴定（蓄水安全鉴定）。</w:t>
      </w:r>
      <w:bookmarkEnd w:id="673"/>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18.8 施工期运行</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18.8.1</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需要在施工期运行的单位工程或工程设备为：</w:t>
      </w:r>
      <w:r>
        <w:rPr>
          <w:rFonts w:hint="eastAsia" w:ascii="宋体" w:hAnsi="宋体" w:eastAsia="Times New Roman" w:cs="宋体"/>
          <w:bCs/>
          <w:kern w:val="0"/>
          <w:szCs w:val="21"/>
          <w:u w:val="single"/>
          <w:lang w:val="zh-CN"/>
        </w:rPr>
        <w:t xml:space="preserve">      无     </w:t>
      </w:r>
      <w:r>
        <w:rPr>
          <w:rFonts w:hint="eastAsia" w:ascii="宋体" w:hAnsi="宋体" w:eastAsia="Times New Roman" w:cs="宋体"/>
          <w:bCs/>
          <w:kern w:val="0"/>
          <w:szCs w:val="21"/>
          <w:lang w:val="zh-CN"/>
        </w:rPr>
        <w:t>。</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18.9</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试运行</w:t>
      </w:r>
    </w:p>
    <w:p>
      <w:pPr>
        <w:topLinePunct/>
        <w:spacing w:line="360" w:lineRule="auto"/>
        <w:jc w:val="left"/>
        <w:rPr>
          <w:rFonts w:ascii="宋体" w:hAnsi="宋体" w:eastAsia="Times New Roman" w:cs="宋体"/>
          <w:bCs/>
          <w:kern w:val="0"/>
          <w:szCs w:val="21"/>
          <w:lang w:val="zh-CN"/>
        </w:rPr>
      </w:pPr>
      <w:r>
        <w:rPr>
          <w:rFonts w:hint="eastAsia" w:ascii="宋体" w:hAnsi="宋体" w:eastAsia="Times New Roman" w:cs="宋体"/>
          <w:bCs/>
          <w:kern w:val="0"/>
          <w:szCs w:val="21"/>
          <w:lang w:val="zh-CN"/>
        </w:rPr>
        <w:t>18.9.1</w:t>
      </w:r>
      <w:r>
        <w:rPr>
          <w:rFonts w:ascii="宋体" w:hAnsi="宋体" w:eastAsia="等线" w:cs="宋体"/>
          <w:bCs/>
          <w:kern w:val="0"/>
          <w:szCs w:val="21"/>
          <w:lang w:val="zh-CN"/>
        </w:rPr>
        <w:t xml:space="preserve"> </w:t>
      </w:r>
      <w:r>
        <w:rPr>
          <w:rFonts w:hint="eastAsia" w:ascii="宋体" w:hAnsi="宋体" w:eastAsia="Times New Roman" w:cs="宋体"/>
          <w:bCs/>
          <w:kern w:val="0"/>
          <w:szCs w:val="21"/>
          <w:lang w:val="zh-CN"/>
        </w:rPr>
        <w:t>试运行的组织：</w:t>
      </w:r>
      <w:r>
        <w:rPr>
          <w:rFonts w:hint="eastAsia" w:ascii="宋体" w:hAnsi="宋体" w:cs="宋体"/>
          <w:bCs/>
          <w:kern w:val="0"/>
          <w:szCs w:val="21"/>
          <w:u w:val="single"/>
          <w:lang w:val="zh-CN"/>
        </w:rPr>
        <w:t>发包人</w:t>
      </w:r>
      <w:r>
        <w:rPr>
          <w:rFonts w:hint="eastAsia" w:ascii="宋体" w:hAnsi="宋体" w:eastAsia="Times New Roman" w:cs="宋体"/>
          <w:bCs/>
          <w:kern w:val="0"/>
          <w:szCs w:val="21"/>
          <w:lang w:val="zh-CN"/>
        </w:rPr>
        <w:t>；费用承担：</w:t>
      </w:r>
      <w:r>
        <w:rPr>
          <w:rFonts w:hint="eastAsia" w:ascii="宋体" w:hAnsi="宋体" w:cs="宋体"/>
          <w:bCs/>
          <w:kern w:val="0"/>
          <w:szCs w:val="21"/>
          <w:u w:val="single"/>
          <w:lang w:val="zh-CN"/>
        </w:rPr>
        <w:t>承包人</w:t>
      </w:r>
      <w:r>
        <w:rPr>
          <w:rFonts w:hint="eastAsia" w:ascii="宋体" w:hAnsi="宋体" w:eastAsia="Times New Roman" w:cs="宋体"/>
          <w:bCs/>
          <w:kern w:val="0"/>
          <w:szCs w:val="21"/>
          <w:lang w:val="zh-CN"/>
        </w:rPr>
        <w:t>。</w:t>
      </w:r>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补充：</w:t>
      </w:r>
    </w:p>
    <w:p>
      <w:pPr>
        <w:topLinePunct/>
        <w:spacing w:line="360" w:lineRule="auto"/>
        <w:jc w:val="left"/>
        <w:rPr>
          <w:rFonts w:hint="eastAsia" w:ascii="宋体" w:hAnsi="宋体" w:cs="宋体"/>
          <w:kern w:val="0"/>
          <w:szCs w:val="21"/>
          <w:lang w:val="zh-CN"/>
        </w:rPr>
      </w:pPr>
      <w:r>
        <w:rPr>
          <w:rFonts w:hint="eastAsia" w:ascii="宋体" w:hAnsi="宋体" w:cs="宋体"/>
          <w:kern w:val="0"/>
          <w:szCs w:val="21"/>
          <w:lang w:val="zh-CN"/>
        </w:rPr>
        <w:t>18.12 本合同工程各项验收工作均按国家现行规范和行业标准执行。工程施工与档案资料整理同步进行，工程完工后1个月内，完成所有分部工程的验收；分部工程验收后1个月内，完成单位工程验收。承包人在申请工程计价款时，单元工程施工质量必须达到合格标准。</w:t>
      </w:r>
    </w:p>
    <w:bookmarkEnd w:id="660"/>
    <w:bookmarkEnd w:id="661"/>
    <w:bookmarkEnd w:id="662"/>
    <w:bookmarkEnd w:id="663"/>
    <w:bookmarkEnd w:id="664"/>
    <w:bookmarkEnd w:id="665"/>
    <w:p>
      <w:pPr>
        <w:topLinePunct/>
        <w:spacing w:line="360" w:lineRule="auto"/>
        <w:jc w:val="left"/>
        <w:outlineLvl w:val="1"/>
        <w:rPr>
          <w:rFonts w:ascii="宋体" w:hAnsi="宋体" w:cs="Microsoft JhengHei"/>
          <w:b/>
          <w:bCs/>
          <w:kern w:val="0"/>
          <w:szCs w:val="21"/>
          <w:lang w:val="zh-CN"/>
        </w:rPr>
      </w:pPr>
      <w:bookmarkStart w:id="674" w:name="_Toc21622654"/>
      <w:bookmarkStart w:id="675" w:name="_Toc66038568"/>
      <w:bookmarkStart w:id="676" w:name="_Toc468952845"/>
      <w:bookmarkStart w:id="677" w:name="_Toc416870638"/>
      <w:bookmarkStart w:id="678" w:name="_Toc66038293"/>
      <w:bookmarkStart w:id="679" w:name="_Toc508279767"/>
      <w:r>
        <w:rPr>
          <w:rFonts w:hint="eastAsia" w:ascii="宋体" w:hAnsi="宋体" w:cs="Microsoft JhengHei"/>
          <w:b/>
          <w:bCs/>
          <w:kern w:val="0"/>
          <w:szCs w:val="21"/>
          <w:lang w:val="zh-CN"/>
        </w:rPr>
        <w:t>19. 缺陷责任与保修责任</w:t>
      </w:r>
      <w:bookmarkEnd w:id="674"/>
      <w:bookmarkEnd w:id="675"/>
      <w:bookmarkEnd w:id="676"/>
      <w:bookmarkEnd w:id="677"/>
      <w:bookmarkEnd w:id="678"/>
      <w:bookmarkEnd w:id="679"/>
    </w:p>
    <w:p>
      <w:pPr>
        <w:topLinePunct/>
        <w:spacing w:line="360" w:lineRule="auto"/>
        <w:jc w:val="left"/>
        <w:outlineLvl w:val="2"/>
        <w:rPr>
          <w:rFonts w:ascii="宋体" w:hAnsi="宋体" w:cs="宋体"/>
          <w:kern w:val="0"/>
          <w:szCs w:val="21"/>
          <w:lang w:val="zh-CN"/>
        </w:rPr>
      </w:pPr>
      <w:bookmarkStart w:id="680" w:name="_Toc66038569"/>
      <w:bookmarkStart w:id="681" w:name="_Toc21622655"/>
      <w:bookmarkStart w:id="682" w:name="_Toc66038294"/>
      <w:r>
        <w:rPr>
          <w:rFonts w:hint="eastAsia" w:ascii="宋体" w:hAnsi="宋体" w:cs="宋体"/>
          <w:kern w:val="0"/>
          <w:szCs w:val="21"/>
          <w:lang w:val="zh-CN"/>
        </w:rPr>
        <w:t>19.1 缺陷责任期（工程质量保修期）的起算时间</w:t>
      </w:r>
      <w:bookmarkEnd w:id="680"/>
      <w:bookmarkEnd w:id="681"/>
      <w:bookmarkEnd w:id="682"/>
    </w:p>
    <w:p>
      <w:pPr>
        <w:topLinePunct/>
        <w:spacing w:line="360" w:lineRule="auto"/>
        <w:jc w:val="left"/>
        <w:rPr>
          <w:rFonts w:ascii="宋体" w:hAnsi="宋体" w:cs="宋体"/>
          <w:kern w:val="0"/>
          <w:szCs w:val="21"/>
          <w:lang w:val="zh-CN"/>
        </w:rPr>
      </w:pPr>
      <w:r>
        <w:rPr>
          <w:rFonts w:hint="eastAsia" w:ascii="宋体" w:hAnsi="宋体" w:cs="宋体"/>
          <w:kern w:val="0"/>
          <w:szCs w:val="21"/>
          <w:lang w:val="zh-CN"/>
        </w:rPr>
        <w:t>本工程缺陷责任期（工程质量保修）计算如下：自工程通过合同工程完工验收后开始计算，缺陷责任期（工程质量保修期）1年。</w:t>
      </w:r>
    </w:p>
    <w:p>
      <w:pPr>
        <w:topLinePunct/>
        <w:spacing w:line="360" w:lineRule="auto"/>
        <w:jc w:val="left"/>
        <w:outlineLvl w:val="1"/>
        <w:rPr>
          <w:rFonts w:hint="eastAsia" w:ascii="宋体" w:hAnsi="宋体" w:cs="Microsoft JhengHei"/>
          <w:b/>
          <w:bCs/>
          <w:kern w:val="0"/>
          <w:szCs w:val="21"/>
          <w:lang w:val="zh-CN"/>
        </w:rPr>
      </w:pPr>
      <w:bookmarkStart w:id="683" w:name="_Toc66038295"/>
      <w:bookmarkStart w:id="684" w:name="_Toc222031044"/>
      <w:bookmarkStart w:id="685" w:name="_Toc221951299"/>
      <w:bookmarkStart w:id="686" w:name="_Toc66038570"/>
      <w:bookmarkStart w:id="687" w:name="_Toc222029542"/>
      <w:bookmarkStart w:id="688" w:name="_Toc21622656"/>
      <w:bookmarkStart w:id="689" w:name="_Toc508279768"/>
      <w:bookmarkStart w:id="690" w:name="_Toc416870639"/>
      <w:bookmarkStart w:id="691" w:name="_Toc229305400"/>
      <w:bookmarkStart w:id="692" w:name="_Toc222032711"/>
      <w:bookmarkStart w:id="693" w:name="_Toc222033893"/>
      <w:bookmarkStart w:id="694" w:name="_Toc468952846"/>
      <w:r>
        <w:rPr>
          <w:rFonts w:hint="eastAsia" w:ascii="宋体" w:hAnsi="宋体" w:cs="Microsoft JhengHei"/>
          <w:b/>
          <w:bCs/>
          <w:kern w:val="0"/>
          <w:szCs w:val="21"/>
          <w:lang w:val="zh-CN"/>
        </w:rPr>
        <w:t>20. 保险</w:t>
      </w:r>
      <w:bookmarkEnd w:id="683"/>
      <w:bookmarkEnd w:id="684"/>
      <w:bookmarkEnd w:id="685"/>
      <w:bookmarkEnd w:id="686"/>
      <w:bookmarkEnd w:id="687"/>
      <w:bookmarkEnd w:id="688"/>
      <w:bookmarkEnd w:id="689"/>
      <w:bookmarkEnd w:id="690"/>
      <w:bookmarkEnd w:id="691"/>
      <w:bookmarkEnd w:id="692"/>
      <w:bookmarkEnd w:id="693"/>
      <w:bookmarkEnd w:id="694"/>
    </w:p>
    <w:p>
      <w:pPr>
        <w:topLinePunct/>
        <w:spacing w:line="360" w:lineRule="auto"/>
        <w:outlineLvl w:val="1"/>
        <w:rPr>
          <w:rFonts w:ascii="宋体" w:hAnsi="宋体" w:cs="宋体"/>
          <w:kern w:val="0"/>
          <w:szCs w:val="21"/>
          <w:lang w:val="zh-CN"/>
        </w:rPr>
      </w:pPr>
      <w:bookmarkStart w:id="695" w:name="_Toc447823217"/>
      <w:bookmarkStart w:id="696" w:name="_Toc66038296"/>
      <w:bookmarkStart w:id="697" w:name="_Toc221951321"/>
      <w:bookmarkStart w:id="698" w:name="_Toc292198105"/>
      <w:bookmarkStart w:id="699" w:name="_Toc66038571"/>
      <w:r>
        <w:rPr>
          <w:rFonts w:hint="eastAsia" w:ascii="宋体" w:hAnsi="宋体" w:cs="宋体"/>
          <w:kern w:val="0"/>
          <w:szCs w:val="21"/>
          <w:lang w:val="zh-CN"/>
        </w:rPr>
        <w:t>20.1 工程保险</w:t>
      </w:r>
      <w:bookmarkEnd w:id="695"/>
      <w:bookmarkEnd w:id="696"/>
      <w:bookmarkEnd w:id="697"/>
      <w:bookmarkEnd w:id="698"/>
      <w:bookmarkEnd w:id="699"/>
    </w:p>
    <w:p>
      <w:pPr>
        <w:topLinePunct/>
        <w:spacing w:line="360" w:lineRule="auto"/>
        <w:ind w:firstLine="420" w:firstLineChars="200"/>
        <w:jc w:val="left"/>
        <w:outlineLvl w:val="1"/>
        <w:rPr>
          <w:rFonts w:hint="eastAsia" w:ascii="宋体" w:hAnsi="宋体" w:cs="宋体"/>
          <w:kern w:val="0"/>
          <w:szCs w:val="21"/>
          <w:lang w:val="zh-CN"/>
        </w:rPr>
      </w:pPr>
      <w:bookmarkStart w:id="700" w:name="_Toc66038572"/>
      <w:bookmarkStart w:id="701" w:name="_Toc66038297"/>
      <w:r>
        <w:rPr>
          <w:rFonts w:hint="eastAsia" w:ascii="宋体" w:hAnsi="宋体" w:cs="宋体"/>
          <w:kern w:val="0"/>
          <w:szCs w:val="21"/>
          <w:lang w:val="zh-CN"/>
        </w:rPr>
        <w:t>建筑工程一切险和（或）安装工程一切险投保人：以发包人和承包人共同的名义，由承包人负责投保，其保险费用包含在投标报价中。</w:t>
      </w:r>
      <w:bookmarkEnd w:id="700"/>
      <w:bookmarkEnd w:id="701"/>
    </w:p>
    <w:p>
      <w:pPr>
        <w:topLinePunct/>
        <w:spacing w:line="360" w:lineRule="auto"/>
        <w:ind w:firstLine="420" w:firstLineChars="200"/>
        <w:jc w:val="left"/>
        <w:outlineLvl w:val="1"/>
        <w:rPr>
          <w:rFonts w:ascii="宋体" w:hAnsi="宋体" w:cs="宋体"/>
          <w:kern w:val="0"/>
          <w:szCs w:val="21"/>
          <w:lang w:val="zh-CN"/>
        </w:rPr>
      </w:pPr>
      <w:bookmarkStart w:id="702" w:name="_Toc66038298"/>
      <w:bookmarkStart w:id="703" w:name="_Toc66038573"/>
      <w:r>
        <w:rPr>
          <w:rFonts w:hint="eastAsia" w:ascii="宋体" w:hAnsi="宋体" w:cs="宋体"/>
          <w:kern w:val="0"/>
          <w:szCs w:val="21"/>
          <w:lang w:val="zh-CN"/>
        </w:rPr>
        <w:t>投保内容：建筑工程一切险和安装工程一切险。</w:t>
      </w:r>
      <w:bookmarkEnd w:id="702"/>
      <w:bookmarkEnd w:id="703"/>
    </w:p>
    <w:p>
      <w:pPr>
        <w:topLinePunct/>
        <w:spacing w:line="360" w:lineRule="auto"/>
        <w:ind w:firstLine="420" w:firstLineChars="200"/>
        <w:jc w:val="left"/>
        <w:outlineLvl w:val="1"/>
        <w:rPr>
          <w:rFonts w:ascii="宋体" w:hAnsi="宋体" w:cs="宋体"/>
          <w:kern w:val="0"/>
          <w:szCs w:val="21"/>
          <w:lang w:val="zh-CN"/>
        </w:rPr>
      </w:pPr>
      <w:bookmarkStart w:id="704" w:name="_Toc66038574"/>
      <w:bookmarkStart w:id="705" w:name="_Toc66038299"/>
      <w:r>
        <w:rPr>
          <w:rFonts w:hint="eastAsia" w:ascii="宋体" w:hAnsi="宋体" w:cs="宋体"/>
          <w:kern w:val="0"/>
          <w:szCs w:val="21"/>
          <w:lang w:val="zh-CN"/>
        </w:rPr>
        <w:t>保险金额、保险费率和保险期限：以保险合同为准。工程保险的费用由承包人支付。</w:t>
      </w:r>
      <w:bookmarkEnd w:id="704"/>
      <w:bookmarkEnd w:id="705"/>
    </w:p>
    <w:p>
      <w:pPr>
        <w:topLinePunct/>
        <w:spacing w:line="360" w:lineRule="auto"/>
        <w:jc w:val="left"/>
        <w:outlineLvl w:val="2"/>
        <w:rPr>
          <w:rFonts w:ascii="宋体" w:hAnsi="宋体" w:cs="宋体"/>
          <w:kern w:val="0"/>
          <w:szCs w:val="21"/>
          <w:lang w:val="zh-CN"/>
        </w:rPr>
      </w:pPr>
      <w:bookmarkStart w:id="706" w:name="_Toc221951323"/>
      <w:bookmarkStart w:id="707" w:name="_Toc21622657"/>
      <w:bookmarkStart w:id="708" w:name="_Toc66038300"/>
      <w:bookmarkStart w:id="709" w:name="_Toc66038575"/>
      <w:r>
        <w:rPr>
          <w:rFonts w:hint="eastAsia" w:ascii="宋体" w:hAnsi="宋体" w:cs="宋体"/>
          <w:kern w:val="0"/>
          <w:szCs w:val="21"/>
          <w:lang w:val="zh-CN"/>
        </w:rPr>
        <w:t>20.4 第三者责任险</w:t>
      </w:r>
      <w:bookmarkEnd w:id="706"/>
      <w:bookmarkEnd w:id="707"/>
      <w:bookmarkEnd w:id="708"/>
      <w:bookmarkEnd w:id="709"/>
    </w:p>
    <w:p>
      <w:pPr>
        <w:topLinePunct/>
        <w:spacing w:line="360" w:lineRule="auto"/>
        <w:ind w:firstLine="480"/>
        <w:jc w:val="left"/>
        <w:rPr>
          <w:rFonts w:ascii="宋体" w:hAnsi="宋体" w:eastAsia="Times New Roman" w:cs="宋体"/>
          <w:kern w:val="0"/>
          <w:sz w:val="22"/>
          <w:szCs w:val="21"/>
          <w:lang w:val="zh-CN"/>
        </w:rPr>
      </w:pPr>
      <w:bookmarkStart w:id="710" w:name="_Toc221951325"/>
      <w:r>
        <w:rPr>
          <w:rFonts w:hint="eastAsia" w:ascii="宋体" w:hAnsi="宋体" w:eastAsia="Times New Roman" w:cs="宋体"/>
          <w:kern w:val="0"/>
          <w:sz w:val="22"/>
          <w:szCs w:val="21"/>
          <w:lang w:val="zh-CN"/>
        </w:rPr>
        <w:t>20.4.2  第三者责任险保险费率：</w:t>
      </w:r>
      <w:r>
        <w:rPr>
          <w:rFonts w:hint="eastAsia" w:ascii="宋体" w:hAnsi="宋体" w:eastAsia="Times New Roman" w:cs="宋体"/>
          <w:kern w:val="0"/>
          <w:sz w:val="22"/>
          <w:szCs w:val="21"/>
          <w:u w:val="single"/>
          <w:lang w:val="zh-CN"/>
        </w:rPr>
        <w:t xml:space="preserve"> </w:t>
      </w:r>
      <w:r>
        <w:rPr>
          <w:rFonts w:hint="eastAsia" w:ascii="宋体" w:hAnsi="宋体" w:cs="宋体"/>
          <w:kern w:val="0"/>
          <w:szCs w:val="21"/>
          <w:u w:val="single"/>
          <w:lang w:val="zh-CN"/>
        </w:rPr>
        <w:t xml:space="preserve"> 以保险合同为准</w:t>
      </w:r>
      <w:r>
        <w:rPr>
          <w:rFonts w:hint="eastAsia" w:ascii="宋体" w:hAnsi="宋体" w:eastAsia="Times New Roman" w:cs="宋体"/>
          <w:kern w:val="0"/>
          <w:sz w:val="22"/>
          <w:szCs w:val="21"/>
          <w:u w:val="single"/>
          <w:lang w:val="zh-CN"/>
        </w:rPr>
        <w:t xml:space="preserve"> </w:t>
      </w:r>
      <w:r>
        <w:rPr>
          <w:rFonts w:hint="eastAsia" w:ascii="宋体" w:hAnsi="宋体" w:eastAsia="Times New Roman" w:cs="宋体"/>
          <w:kern w:val="0"/>
          <w:sz w:val="22"/>
          <w:szCs w:val="21"/>
          <w:lang w:val="zh-CN"/>
        </w:rPr>
        <w:t xml:space="preserve">；                                       </w:t>
      </w:r>
    </w:p>
    <w:p>
      <w:pPr>
        <w:topLinePunct/>
        <w:spacing w:line="360" w:lineRule="auto"/>
        <w:ind w:firstLine="480"/>
        <w:jc w:val="left"/>
        <w:rPr>
          <w:rFonts w:ascii="宋体" w:hAnsi="宋体" w:eastAsia="Times New Roman" w:cs="宋体"/>
          <w:kern w:val="0"/>
          <w:sz w:val="22"/>
          <w:lang w:val="zh-CN"/>
        </w:rPr>
      </w:pPr>
      <w:r>
        <w:rPr>
          <w:rFonts w:hint="eastAsia" w:ascii="宋体" w:hAnsi="宋体" w:eastAsia="Times New Roman" w:cs="宋体"/>
          <w:kern w:val="0"/>
          <w:sz w:val="22"/>
          <w:szCs w:val="21"/>
          <w:lang w:val="zh-CN"/>
        </w:rPr>
        <w:t>第三者责任险保险金额：</w:t>
      </w:r>
      <w:r>
        <w:rPr>
          <w:rFonts w:hint="eastAsia" w:ascii="宋体" w:hAnsi="宋体" w:cs="宋体"/>
          <w:kern w:val="0"/>
          <w:szCs w:val="21"/>
          <w:u w:val="single"/>
          <w:lang w:val="zh-CN"/>
        </w:rPr>
        <w:t xml:space="preserve"> 以保险合同为准。</w:t>
      </w:r>
      <w:r>
        <w:rPr>
          <w:rFonts w:hint="eastAsia" w:ascii="宋体" w:hAnsi="宋体" w:eastAsia="Times New Roman" w:cs="宋体"/>
          <w:kern w:val="0"/>
          <w:sz w:val="22"/>
          <w:szCs w:val="21"/>
          <w:u w:val="single"/>
          <w:lang w:val="zh-CN"/>
        </w:rPr>
        <w:t xml:space="preserve"> </w:t>
      </w:r>
      <w:r>
        <w:rPr>
          <w:rFonts w:hint="eastAsia" w:ascii="宋体" w:hAnsi="宋体" w:eastAsia="Times New Roman" w:cs="宋体"/>
          <w:kern w:val="0"/>
          <w:sz w:val="24"/>
          <w:lang w:val="zh-CN"/>
        </w:rPr>
        <w:t xml:space="preserve"> </w:t>
      </w:r>
    </w:p>
    <w:p>
      <w:pPr>
        <w:topLinePunct/>
        <w:spacing w:line="360" w:lineRule="auto"/>
        <w:jc w:val="left"/>
        <w:rPr>
          <w:rFonts w:ascii="宋体" w:hAnsi="宋体" w:eastAsia="Times New Roman" w:cs="宋体"/>
          <w:b/>
          <w:kern w:val="0"/>
          <w:sz w:val="24"/>
          <w:lang w:val="zh-CN"/>
        </w:rPr>
      </w:pPr>
      <w:r>
        <w:rPr>
          <w:rFonts w:hint="eastAsia" w:ascii="宋体" w:hAnsi="宋体" w:eastAsia="Times New Roman" w:cs="宋体"/>
          <w:b/>
          <w:kern w:val="0"/>
          <w:sz w:val="24"/>
          <w:lang w:val="zh-CN"/>
        </w:rPr>
        <w:t>20.5其他保险</w:t>
      </w:r>
    </w:p>
    <w:p>
      <w:pPr>
        <w:topLinePunct/>
        <w:spacing w:line="360" w:lineRule="auto"/>
        <w:ind w:firstLine="480"/>
        <w:jc w:val="left"/>
        <w:rPr>
          <w:rFonts w:ascii="宋体" w:hAnsi="宋体" w:eastAsia="Times New Roman" w:cs="宋体"/>
          <w:kern w:val="0"/>
          <w:sz w:val="22"/>
          <w:szCs w:val="21"/>
          <w:lang w:val="zh-CN"/>
        </w:rPr>
      </w:pPr>
      <w:bookmarkStart w:id="711" w:name="_Toc221951327"/>
      <w:r>
        <w:rPr>
          <w:rFonts w:hint="eastAsia" w:ascii="宋体" w:hAnsi="宋体" w:eastAsia="Times New Roman" w:cs="宋体"/>
          <w:kern w:val="0"/>
          <w:sz w:val="22"/>
          <w:szCs w:val="21"/>
          <w:lang w:val="zh-CN"/>
        </w:rPr>
        <w:t>需要投保的其他内容：</w:t>
      </w:r>
      <w:r>
        <w:rPr>
          <w:rFonts w:hint="eastAsia" w:ascii="宋体" w:hAnsi="宋体" w:cs="宋体"/>
          <w:kern w:val="0"/>
          <w:szCs w:val="21"/>
          <w:u w:val="single"/>
          <w:lang w:val="zh-CN"/>
        </w:rPr>
        <w:t xml:space="preserve"> 承包人负责投保施工设备险，无论承包人是否保险都不免除承包人的合同责任   </w:t>
      </w:r>
      <w:r>
        <w:rPr>
          <w:rFonts w:hint="eastAsia" w:ascii="宋体" w:hAnsi="宋体" w:eastAsia="Times New Roman" w:cs="宋体"/>
          <w:kern w:val="0"/>
          <w:sz w:val="22"/>
          <w:szCs w:val="21"/>
          <w:lang w:val="zh-CN"/>
        </w:rPr>
        <w:t>；</w:t>
      </w:r>
    </w:p>
    <w:p>
      <w:pPr>
        <w:topLinePunct/>
        <w:spacing w:line="360" w:lineRule="auto"/>
        <w:ind w:firstLine="480"/>
        <w:jc w:val="left"/>
        <w:rPr>
          <w:rFonts w:ascii="宋体" w:hAnsi="宋体" w:eastAsia="Times New Roman" w:cs="宋体"/>
          <w:kern w:val="0"/>
          <w:sz w:val="22"/>
          <w:szCs w:val="21"/>
          <w:lang w:val="zh-CN"/>
        </w:rPr>
      </w:pPr>
      <w:r>
        <w:rPr>
          <w:rFonts w:hint="eastAsia" w:ascii="宋体" w:hAnsi="宋体" w:eastAsia="Times New Roman" w:cs="宋体"/>
          <w:kern w:val="0"/>
          <w:sz w:val="22"/>
          <w:szCs w:val="21"/>
          <w:lang w:val="zh-CN"/>
        </w:rPr>
        <w:t>保险金额、保险费率和保险期限：</w:t>
      </w:r>
      <w:r>
        <w:rPr>
          <w:rFonts w:hint="eastAsia" w:ascii="宋体" w:hAnsi="宋体" w:eastAsia="Times New Roman" w:cs="宋体"/>
          <w:kern w:val="0"/>
          <w:sz w:val="22"/>
          <w:szCs w:val="21"/>
          <w:u w:val="single"/>
          <w:lang w:val="zh-CN"/>
        </w:rPr>
        <w:t xml:space="preserve">   </w:t>
      </w:r>
      <w:r>
        <w:rPr>
          <w:rFonts w:hint="eastAsia" w:ascii="宋体" w:hAnsi="宋体" w:cs="宋体"/>
          <w:kern w:val="0"/>
          <w:szCs w:val="21"/>
          <w:u w:val="single"/>
          <w:lang w:val="zh-CN"/>
        </w:rPr>
        <w:t>以保险合同为准</w:t>
      </w:r>
      <w:r>
        <w:rPr>
          <w:rFonts w:hint="eastAsia" w:ascii="宋体" w:hAnsi="宋体" w:eastAsia="Times New Roman" w:cs="宋体"/>
          <w:kern w:val="0"/>
          <w:sz w:val="22"/>
          <w:szCs w:val="21"/>
          <w:u w:val="single"/>
          <w:lang w:val="zh-CN"/>
        </w:rPr>
        <w:t xml:space="preserve"> </w:t>
      </w:r>
      <w:r>
        <w:rPr>
          <w:rFonts w:hint="eastAsia" w:ascii="宋体" w:hAnsi="宋体" w:eastAsia="Times New Roman" w:cs="宋体"/>
          <w:kern w:val="0"/>
          <w:sz w:val="22"/>
          <w:szCs w:val="21"/>
          <w:lang w:val="zh-CN"/>
        </w:rPr>
        <w:t>；</w:t>
      </w:r>
    </w:p>
    <w:p>
      <w:pPr>
        <w:topLinePunct/>
        <w:spacing w:line="360" w:lineRule="auto"/>
        <w:jc w:val="left"/>
        <w:rPr>
          <w:rFonts w:ascii="宋体" w:hAnsi="宋体" w:eastAsia="Times New Roman" w:cs="宋体"/>
          <w:b/>
          <w:kern w:val="0"/>
          <w:sz w:val="24"/>
          <w:lang w:val="zh-CN"/>
        </w:rPr>
      </w:pPr>
      <w:r>
        <w:rPr>
          <w:rFonts w:hint="eastAsia" w:ascii="宋体" w:hAnsi="宋体" w:eastAsia="Times New Roman" w:cs="宋体"/>
          <w:b/>
          <w:kern w:val="0"/>
          <w:sz w:val="24"/>
          <w:lang w:val="zh-CN"/>
        </w:rPr>
        <w:t>20.6对各项保险的一般要求</w:t>
      </w:r>
      <w:bookmarkEnd w:id="711"/>
    </w:p>
    <w:p>
      <w:pPr>
        <w:topLinePunct/>
        <w:spacing w:line="360" w:lineRule="auto"/>
        <w:jc w:val="left"/>
        <w:rPr>
          <w:rFonts w:ascii="宋体" w:hAnsi="宋体" w:eastAsia="Times New Roman" w:cs="宋体"/>
          <w:kern w:val="0"/>
          <w:sz w:val="22"/>
          <w:szCs w:val="21"/>
          <w:lang w:val="zh-CN"/>
        </w:rPr>
      </w:pPr>
      <w:bookmarkStart w:id="712" w:name="_Toc221951328"/>
      <w:r>
        <w:rPr>
          <w:rFonts w:ascii="宋体" w:hAnsi="宋体" w:eastAsia="Times New Roman" w:cs="宋体"/>
          <w:kern w:val="0"/>
          <w:sz w:val="22"/>
          <w:szCs w:val="21"/>
          <w:lang w:val="zh-CN"/>
        </w:rPr>
        <w:t>20</w:t>
      </w:r>
      <w:r>
        <w:rPr>
          <w:rFonts w:hint="eastAsia" w:ascii="宋体" w:hAnsi="宋体" w:eastAsia="Times New Roman" w:cs="宋体"/>
          <w:kern w:val="0"/>
          <w:sz w:val="22"/>
          <w:szCs w:val="21"/>
          <w:lang w:val="zh-CN"/>
        </w:rPr>
        <w:t>.</w:t>
      </w:r>
      <w:r>
        <w:rPr>
          <w:rFonts w:ascii="宋体" w:hAnsi="宋体" w:eastAsia="Times New Roman" w:cs="宋体"/>
          <w:kern w:val="0"/>
          <w:sz w:val="22"/>
          <w:szCs w:val="21"/>
          <w:lang w:val="zh-CN"/>
        </w:rPr>
        <w:t>6</w:t>
      </w:r>
      <w:r>
        <w:rPr>
          <w:rFonts w:hint="eastAsia" w:ascii="宋体" w:hAnsi="宋体" w:eastAsia="Times New Roman" w:cs="宋体"/>
          <w:kern w:val="0"/>
          <w:sz w:val="22"/>
          <w:szCs w:val="21"/>
          <w:lang w:val="zh-CN"/>
        </w:rPr>
        <w:t>.</w:t>
      </w:r>
      <w:r>
        <w:rPr>
          <w:rFonts w:ascii="宋体" w:hAnsi="宋体" w:eastAsia="Times New Roman" w:cs="宋体"/>
          <w:kern w:val="0"/>
          <w:sz w:val="22"/>
          <w:szCs w:val="21"/>
          <w:lang w:val="zh-CN"/>
        </w:rPr>
        <w:t>1</w:t>
      </w:r>
      <w:r>
        <w:rPr>
          <w:rFonts w:hint="eastAsia" w:ascii="宋体" w:hAnsi="宋体" w:eastAsia="Times New Roman" w:cs="宋体"/>
          <w:kern w:val="0"/>
          <w:sz w:val="22"/>
          <w:szCs w:val="21"/>
          <w:lang w:val="zh-CN"/>
        </w:rPr>
        <w:t xml:space="preserve"> 保险凭证</w:t>
      </w:r>
      <w:bookmarkEnd w:id="712"/>
    </w:p>
    <w:p>
      <w:pPr>
        <w:topLinePunct/>
        <w:spacing w:line="360" w:lineRule="auto"/>
        <w:ind w:firstLine="480"/>
        <w:jc w:val="left"/>
        <w:rPr>
          <w:rFonts w:ascii="宋体" w:hAnsi="宋体" w:eastAsia="Times New Roman" w:cs="宋体"/>
          <w:kern w:val="0"/>
          <w:sz w:val="22"/>
          <w:szCs w:val="21"/>
          <w:lang w:val="zh-CN"/>
        </w:rPr>
      </w:pPr>
      <w:bookmarkStart w:id="713" w:name="_Toc221951329"/>
      <w:r>
        <w:rPr>
          <w:rFonts w:hint="eastAsia" w:ascii="宋体" w:hAnsi="宋体" w:eastAsia="Times New Roman" w:cs="宋体"/>
          <w:kern w:val="0"/>
          <w:sz w:val="22"/>
          <w:szCs w:val="21"/>
          <w:lang w:val="zh-CN"/>
        </w:rPr>
        <w:t>承包人提交保险凭证的期限：</w:t>
      </w:r>
      <w:r>
        <w:rPr>
          <w:rFonts w:hint="eastAsia" w:ascii="宋体" w:hAnsi="宋体" w:eastAsia="Times New Roman" w:cs="宋体"/>
          <w:kern w:val="0"/>
          <w:sz w:val="22"/>
          <w:szCs w:val="21"/>
          <w:u w:val="single"/>
          <w:lang w:val="zh-CN"/>
        </w:rPr>
        <w:t xml:space="preserve">  </w:t>
      </w:r>
      <w:r>
        <w:rPr>
          <w:rFonts w:hint="eastAsia" w:ascii="宋体" w:hAnsi="宋体" w:cs="宋体"/>
          <w:kern w:val="0"/>
          <w:sz w:val="22"/>
          <w:szCs w:val="21"/>
          <w:u w:val="single"/>
          <w:lang w:val="zh-CN"/>
        </w:rPr>
        <w:t>收到</w:t>
      </w:r>
      <w:r>
        <w:rPr>
          <w:rFonts w:hint="eastAsia" w:ascii="宋体" w:hAnsi="宋体" w:eastAsia="Times New Roman" w:cs="宋体"/>
          <w:bCs/>
          <w:kern w:val="0"/>
          <w:sz w:val="22"/>
          <w:szCs w:val="21"/>
          <w:u w:val="single"/>
          <w:lang w:val="zh-CN"/>
        </w:rPr>
        <w:t>工程开工通知后28天内；</w:t>
      </w:r>
      <w:r>
        <w:rPr>
          <w:rFonts w:hint="eastAsia" w:ascii="宋体" w:hAnsi="宋体" w:eastAsia="Times New Roman" w:cs="宋体"/>
          <w:kern w:val="0"/>
          <w:sz w:val="22"/>
          <w:szCs w:val="21"/>
          <w:u w:val="single"/>
          <w:lang w:val="zh-CN"/>
        </w:rPr>
        <w:t xml:space="preserve">   </w:t>
      </w:r>
      <w:bookmarkEnd w:id="713"/>
      <w:r>
        <w:rPr>
          <w:rFonts w:hint="eastAsia" w:ascii="宋体" w:hAnsi="宋体" w:eastAsia="Times New Roman" w:cs="宋体"/>
          <w:kern w:val="0"/>
          <w:sz w:val="22"/>
          <w:szCs w:val="21"/>
          <w:lang w:val="zh-CN"/>
        </w:rPr>
        <w:t>；</w:t>
      </w:r>
    </w:p>
    <w:p>
      <w:pPr>
        <w:topLinePunct/>
        <w:spacing w:line="360" w:lineRule="auto"/>
        <w:ind w:firstLine="482"/>
        <w:jc w:val="left"/>
        <w:rPr>
          <w:rFonts w:ascii="宋体" w:hAnsi="宋体" w:eastAsia="Times New Roman" w:cs="宋体"/>
          <w:kern w:val="0"/>
          <w:sz w:val="22"/>
          <w:szCs w:val="21"/>
          <w:lang w:val="zh-CN"/>
        </w:rPr>
      </w:pPr>
      <w:bookmarkStart w:id="714" w:name="_Toc221951330"/>
      <w:r>
        <w:rPr>
          <w:rFonts w:hint="eastAsia" w:ascii="宋体" w:hAnsi="宋体" w:eastAsia="Times New Roman" w:cs="宋体"/>
          <w:kern w:val="0"/>
          <w:sz w:val="22"/>
          <w:szCs w:val="21"/>
          <w:lang w:val="zh-CN"/>
        </w:rPr>
        <w:t>保险条件：</w:t>
      </w:r>
      <w:r>
        <w:rPr>
          <w:rFonts w:hint="eastAsia" w:ascii="宋体" w:hAnsi="宋体" w:eastAsia="Times New Roman" w:cs="宋体"/>
          <w:bCs/>
          <w:kern w:val="0"/>
          <w:sz w:val="22"/>
          <w:szCs w:val="21"/>
          <w:u w:val="single"/>
          <w:lang w:val="zh-CN"/>
        </w:rPr>
        <w:t>承包人向发包人提交按合同规定的各项保险单的副本以及保险生效的证明材料，并通知监理人。</w:t>
      </w:r>
      <w:bookmarkEnd w:id="714"/>
    </w:p>
    <w:bookmarkEnd w:id="710"/>
    <w:p>
      <w:pPr>
        <w:topLinePunct/>
        <w:spacing w:line="360" w:lineRule="auto"/>
        <w:jc w:val="left"/>
        <w:rPr>
          <w:rFonts w:ascii="宋体" w:hAnsi="宋体" w:cs="宋体"/>
          <w:kern w:val="0"/>
          <w:szCs w:val="21"/>
          <w:lang w:val="zh-CN"/>
        </w:rPr>
      </w:pPr>
      <w:bookmarkStart w:id="715" w:name="_Toc221951331"/>
      <w:r>
        <w:rPr>
          <w:rFonts w:ascii="宋体" w:hAnsi="宋体" w:cs="宋体"/>
          <w:kern w:val="0"/>
          <w:szCs w:val="21"/>
          <w:lang w:val="zh-CN"/>
        </w:rPr>
        <w:t>20</w:t>
      </w:r>
      <w:r>
        <w:rPr>
          <w:rFonts w:hint="eastAsia" w:ascii="宋体" w:hAnsi="宋体" w:cs="宋体"/>
          <w:kern w:val="0"/>
          <w:szCs w:val="21"/>
          <w:lang w:val="zh-CN"/>
        </w:rPr>
        <w:t>.</w:t>
      </w:r>
      <w:r>
        <w:rPr>
          <w:rFonts w:ascii="宋体" w:hAnsi="宋体" w:cs="宋体"/>
          <w:kern w:val="0"/>
          <w:szCs w:val="21"/>
          <w:lang w:val="zh-CN"/>
        </w:rPr>
        <w:t>6</w:t>
      </w:r>
      <w:r>
        <w:rPr>
          <w:rFonts w:hint="eastAsia" w:ascii="宋体" w:hAnsi="宋体" w:cs="宋体"/>
          <w:kern w:val="0"/>
          <w:szCs w:val="21"/>
          <w:lang w:val="zh-CN"/>
        </w:rPr>
        <w:t>.</w:t>
      </w:r>
      <w:r>
        <w:rPr>
          <w:rFonts w:ascii="宋体" w:hAnsi="宋体" w:cs="宋体"/>
          <w:kern w:val="0"/>
          <w:szCs w:val="21"/>
          <w:lang w:val="zh-CN"/>
        </w:rPr>
        <w:t>4</w:t>
      </w:r>
      <w:r>
        <w:rPr>
          <w:rFonts w:hint="eastAsia" w:ascii="宋体" w:hAnsi="宋体" w:cs="宋体"/>
          <w:kern w:val="0"/>
          <w:szCs w:val="21"/>
          <w:lang w:val="zh-CN"/>
        </w:rPr>
        <w:t xml:space="preserve"> 保险金不足的补偿</w:t>
      </w:r>
      <w:bookmarkEnd w:id="715"/>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删除本款，并代之以：</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保险金不足以补偿损失的，双方均自行负责。</w:t>
      </w:r>
    </w:p>
    <w:p>
      <w:pPr>
        <w:autoSpaceDE w:val="0"/>
        <w:autoSpaceDN w:val="0"/>
        <w:spacing w:line="360" w:lineRule="auto"/>
        <w:jc w:val="left"/>
        <w:outlineLvl w:val="1"/>
        <w:rPr>
          <w:rFonts w:ascii="宋体" w:hAnsi="宋体" w:cs="宋体"/>
          <w:b/>
          <w:bCs/>
          <w:kern w:val="0"/>
          <w:szCs w:val="21"/>
          <w:lang w:val="zh-CN"/>
        </w:rPr>
      </w:pPr>
      <w:bookmarkStart w:id="716" w:name="_Toc66038301"/>
      <w:bookmarkStart w:id="717" w:name="_Toc66038576"/>
      <w:r>
        <w:rPr>
          <w:rFonts w:hint="eastAsia" w:ascii="宋体" w:hAnsi="宋体" w:cs="宋体"/>
          <w:b/>
          <w:bCs/>
          <w:kern w:val="0"/>
          <w:szCs w:val="21"/>
          <w:lang w:val="zh-CN"/>
        </w:rPr>
        <w:t>21. 不可抗力</w:t>
      </w:r>
      <w:bookmarkEnd w:id="716"/>
      <w:bookmarkEnd w:id="717"/>
    </w:p>
    <w:p>
      <w:pPr>
        <w:autoSpaceDE w:val="0"/>
        <w:autoSpaceDN w:val="0"/>
        <w:spacing w:line="360" w:lineRule="auto"/>
        <w:outlineLvl w:val="1"/>
        <w:rPr>
          <w:rFonts w:ascii="宋体" w:hAnsi="宋体" w:cs="宋体"/>
          <w:kern w:val="0"/>
          <w:szCs w:val="21"/>
          <w:lang w:val="zh-CN"/>
        </w:rPr>
      </w:pPr>
      <w:bookmarkStart w:id="718" w:name="_Toc66038577"/>
      <w:bookmarkStart w:id="719" w:name="_Toc292198108"/>
      <w:bookmarkStart w:id="720" w:name="_Toc66038302"/>
      <w:bookmarkStart w:id="721" w:name="_Toc447823223"/>
      <w:r>
        <w:rPr>
          <w:rFonts w:hint="eastAsia" w:ascii="宋体" w:hAnsi="宋体" w:cs="宋体"/>
          <w:kern w:val="0"/>
          <w:szCs w:val="21"/>
          <w:lang w:val="zh-CN"/>
        </w:rPr>
        <w:t>21.1 不可抗力的确认</w:t>
      </w:r>
      <w:bookmarkEnd w:id="718"/>
      <w:bookmarkEnd w:id="719"/>
      <w:bookmarkEnd w:id="720"/>
      <w:bookmarkEnd w:id="721"/>
    </w:p>
    <w:p>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21.1.1 不可抗力的其他情形包括因重大政治活动等政府指令的原因引起的停止施工。</w:t>
      </w:r>
    </w:p>
    <w:p>
      <w:pPr>
        <w:topLinePunct/>
        <w:spacing w:line="360" w:lineRule="auto"/>
        <w:jc w:val="left"/>
        <w:outlineLvl w:val="1"/>
        <w:rPr>
          <w:rFonts w:ascii="宋体" w:hAnsi="宋体" w:cs="Microsoft JhengHei"/>
          <w:b/>
          <w:bCs/>
          <w:kern w:val="0"/>
          <w:szCs w:val="21"/>
          <w:lang w:val="zh-CN"/>
        </w:rPr>
      </w:pPr>
      <w:bookmarkStart w:id="722" w:name="_Toc416870640"/>
      <w:bookmarkStart w:id="723" w:name="_Toc508279769"/>
      <w:bookmarkStart w:id="724" w:name="_Toc468952847"/>
      <w:bookmarkStart w:id="725" w:name="_Toc66038303"/>
      <w:bookmarkStart w:id="726" w:name="_Toc66038578"/>
      <w:bookmarkStart w:id="727" w:name="_Toc248731369"/>
      <w:bookmarkStart w:id="728" w:name="_Toc21622658"/>
      <w:r>
        <w:rPr>
          <w:rFonts w:ascii="宋体" w:hAnsi="宋体" w:cs="Microsoft JhengHei"/>
          <w:b/>
          <w:bCs/>
          <w:kern w:val="0"/>
          <w:szCs w:val="21"/>
          <w:lang w:val="zh-CN"/>
        </w:rPr>
        <w:t>22.</w:t>
      </w:r>
      <w:r>
        <w:rPr>
          <w:rFonts w:hint="eastAsia" w:ascii="宋体" w:hAnsi="宋体" w:cs="Microsoft JhengHei"/>
          <w:b/>
          <w:bCs/>
          <w:kern w:val="0"/>
          <w:szCs w:val="21"/>
          <w:lang w:val="zh-CN"/>
        </w:rPr>
        <w:t xml:space="preserve"> </w:t>
      </w:r>
      <w:r>
        <w:rPr>
          <w:rFonts w:ascii="宋体" w:hAnsi="宋体" w:cs="Microsoft JhengHei"/>
          <w:b/>
          <w:bCs/>
          <w:kern w:val="0"/>
          <w:szCs w:val="21"/>
          <w:lang w:val="zh-CN"/>
        </w:rPr>
        <w:t>违约</w:t>
      </w:r>
      <w:bookmarkEnd w:id="722"/>
      <w:bookmarkEnd w:id="723"/>
      <w:bookmarkEnd w:id="724"/>
      <w:bookmarkEnd w:id="725"/>
      <w:bookmarkEnd w:id="726"/>
      <w:bookmarkEnd w:id="727"/>
      <w:bookmarkEnd w:id="728"/>
    </w:p>
    <w:p>
      <w:pPr>
        <w:topLinePunct/>
        <w:spacing w:line="360" w:lineRule="auto"/>
        <w:jc w:val="left"/>
        <w:outlineLvl w:val="2"/>
        <w:rPr>
          <w:rFonts w:ascii="宋体" w:hAnsi="宋体" w:cs="宋体"/>
          <w:kern w:val="0"/>
          <w:szCs w:val="21"/>
          <w:lang w:val="zh-CN"/>
        </w:rPr>
      </w:pPr>
      <w:bookmarkStart w:id="729" w:name="_Toc248731370"/>
      <w:bookmarkStart w:id="730" w:name="_Toc21622659"/>
      <w:bookmarkStart w:id="731" w:name="_Toc66038579"/>
      <w:bookmarkStart w:id="732" w:name="_Toc66038304"/>
      <w:r>
        <w:rPr>
          <w:rFonts w:ascii="宋体" w:hAnsi="宋体" w:cs="宋体"/>
          <w:kern w:val="0"/>
          <w:szCs w:val="21"/>
          <w:lang w:val="zh-CN"/>
        </w:rPr>
        <w:t>22.1 承包人违约</w:t>
      </w:r>
      <w:bookmarkEnd w:id="729"/>
      <w:bookmarkEnd w:id="730"/>
      <w:bookmarkEnd w:id="731"/>
      <w:bookmarkEnd w:id="732"/>
    </w:p>
    <w:p>
      <w:pPr>
        <w:topLinePunct/>
        <w:spacing w:line="360" w:lineRule="auto"/>
        <w:jc w:val="left"/>
        <w:rPr>
          <w:rFonts w:ascii="宋体" w:hAnsi="宋体" w:cs="宋体"/>
          <w:kern w:val="0"/>
          <w:szCs w:val="21"/>
          <w:lang w:val="zh-CN"/>
        </w:rPr>
      </w:pPr>
      <w:bookmarkStart w:id="733" w:name="_Toc248731371"/>
      <w:bookmarkStart w:id="734" w:name="_Toc235621659"/>
      <w:r>
        <w:rPr>
          <w:rFonts w:ascii="宋体" w:hAnsi="宋体" w:cs="宋体"/>
          <w:kern w:val="0"/>
          <w:szCs w:val="21"/>
          <w:lang w:val="zh-CN"/>
        </w:rPr>
        <w:t>22.1.1 承包人违约的情形</w:t>
      </w:r>
      <w:bookmarkEnd w:id="733"/>
      <w:bookmarkEnd w:id="734"/>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本款补充如下：</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（8）未经发包人同意，承包人派驻的项目经理、</w:t>
      </w:r>
      <w:r>
        <w:rPr>
          <w:rFonts w:hint="eastAsia" w:ascii="宋体" w:hAnsi="宋体" w:cs="宋体"/>
          <w:kern w:val="0"/>
          <w:szCs w:val="21"/>
          <w:lang w:val="zh-CN"/>
        </w:rPr>
        <w:t>项目</w:t>
      </w:r>
      <w:r>
        <w:rPr>
          <w:rFonts w:ascii="宋体" w:hAnsi="宋体" w:cs="宋体"/>
          <w:kern w:val="0"/>
          <w:szCs w:val="21"/>
          <w:lang w:val="zh-CN"/>
        </w:rPr>
        <w:t>技术负责人、质检</w:t>
      </w:r>
      <w:r>
        <w:rPr>
          <w:rFonts w:hint="eastAsia" w:ascii="宋体" w:hAnsi="宋体" w:cs="宋体"/>
          <w:kern w:val="0"/>
          <w:szCs w:val="21"/>
          <w:lang w:val="zh-CN"/>
        </w:rPr>
        <w:t>员、专职安全员、施工员、材料员、资料员等主要管理人员和技术骨干</w:t>
      </w:r>
      <w:r>
        <w:rPr>
          <w:rFonts w:ascii="宋体" w:hAnsi="宋体" w:cs="宋体"/>
          <w:kern w:val="0"/>
          <w:szCs w:val="21"/>
          <w:lang w:val="zh-CN"/>
        </w:rPr>
        <w:t>与投标文件中承诺不符。</w:t>
      </w:r>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（9）未经发包人同意，承包人进场的主要</w:t>
      </w:r>
      <w:r>
        <w:rPr>
          <w:rFonts w:hint="eastAsia" w:ascii="宋体" w:hAnsi="宋体" w:cs="宋体"/>
          <w:kern w:val="0"/>
          <w:szCs w:val="21"/>
          <w:lang w:val="zh-CN"/>
        </w:rPr>
        <w:t>施工</w:t>
      </w:r>
      <w:r>
        <w:rPr>
          <w:rFonts w:ascii="宋体" w:hAnsi="宋体" w:cs="宋体"/>
          <w:kern w:val="0"/>
          <w:szCs w:val="21"/>
          <w:lang w:val="zh-CN"/>
        </w:rPr>
        <w:t>设备与投标文件中承诺</w:t>
      </w:r>
      <w:r>
        <w:rPr>
          <w:rFonts w:hint="eastAsia" w:ascii="宋体" w:hAnsi="宋体" w:cs="宋体"/>
          <w:kern w:val="0"/>
          <w:szCs w:val="21"/>
          <w:lang w:val="zh-CN"/>
        </w:rPr>
        <w:t>不</w:t>
      </w:r>
      <w:r>
        <w:rPr>
          <w:rFonts w:ascii="宋体" w:hAnsi="宋体" w:cs="宋体"/>
          <w:kern w:val="0"/>
          <w:szCs w:val="21"/>
          <w:lang w:val="zh-CN"/>
        </w:rPr>
        <w:t>符。</w:t>
      </w:r>
      <w:bookmarkStart w:id="735" w:name="_Toc416870641"/>
      <w:bookmarkStart w:id="736" w:name="_Toc222033894"/>
      <w:bookmarkStart w:id="737" w:name="_Toc508279770"/>
      <w:bookmarkStart w:id="738" w:name="_Toc222029543"/>
      <w:bookmarkStart w:id="739" w:name="_Toc468952848"/>
      <w:bookmarkStart w:id="740" w:name="_Toc221951334"/>
      <w:bookmarkStart w:id="741" w:name="_Toc222032712"/>
      <w:bookmarkStart w:id="742" w:name="_Toc229305401"/>
      <w:bookmarkStart w:id="743" w:name="_Toc222031045"/>
      <w:bookmarkStart w:id="744" w:name="_Toc21622660"/>
    </w:p>
    <w:p>
      <w:pPr>
        <w:topLinePunct/>
        <w:spacing w:line="360" w:lineRule="auto"/>
        <w:ind w:firstLine="420" w:firstLineChars="200"/>
        <w:jc w:val="left"/>
        <w:rPr>
          <w:rFonts w:ascii="宋体" w:hAnsi="宋体" w:cs="宋体"/>
          <w:kern w:val="0"/>
          <w:szCs w:val="21"/>
          <w:lang w:val="zh-CN"/>
        </w:rPr>
      </w:pPr>
      <w:r>
        <w:rPr>
          <w:rFonts w:ascii="宋体" w:hAnsi="宋体" w:cs="宋体"/>
          <w:kern w:val="0"/>
          <w:szCs w:val="21"/>
          <w:lang w:val="zh-CN"/>
        </w:rPr>
        <w:t>（10）</w:t>
      </w:r>
      <w:r>
        <w:rPr>
          <w:rFonts w:hint="eastAsia" w:ascii="宋体" w:hAnsi="宋体" w:cs="宋体"/>
          <w:kern w:val="0"/>
          <w:szCs w:val="21"/>
          <w:lang w:val="zh-CN"/>
        </w:rPr>
        <w:t>承包人在施工中粗制滥造、弄虚作假，在工程质量检查验收中伪造施工记录。</w:t>
      </w:r>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ascii="宋体" w:hAnsi="宋体" w:cs="宋体"/>
          <w:kern w:val="0"/>
          <w:szCs w:val="21"/>
          <w:lang w:val="zh-CN"/>
        </w:rPr>
        <w:t>1</w:t>
      </w:r>
      <w:r>
        <w:rPr>
          <w:rFonts w:hint="eastAsia" w:ascii="宋体" w:hAnsi="宋体" w:cs="宋体"/>
          <w:kern w:val="0"/>
          <w:szCs w:val="21"/>
          <w:lang w:val="zh-CN"/>
        </w:rPr>
        <w:t>）严重违反安全施工操作规程和施工质量强制性标准的施工行为。</w:t>
      </w:r>
    </w:p>
    <w:p>
      <w:pPr>
        <w:topLinePunct/>
        <w:spacing w:line="360" w:lineRule="auto"/>
        <w:jc w:val="left"/>
        <w:outlineLvl w:val="1"/>
        <w:rPr>
          <w:rFonts w:ascii="宋体" w:hAnsi="宋体" w:cs="Microsoft JhengHei"/>
          <w:b/>
          <w:bCs/>
          <w:kern w:val="0"/>
          <w:szCs w:val="21"/>
          <w:lang w:val="zh-CN"/>
        </w:rPr>
      </w:pPr>
      <w:bookmarkStart w:id="745" w:name="_Toc66038580"/>
      <w:bookmarkStart w:id="746" w:name="_Toc66038305"/>
      <w:r>
        <w:rPr>
          <w:rFonts w:ascii="宋体" w:hAnsi="宋体" w:cs="Microsoft JhengHei"/>
          <w:b/>
          <w:bCs/>
          <w:kern w:val="0"/>
          <w:szCs w:val="21"/>
          <w:lang w:val="zh-CN"/>
        </w:rPr>
        <w:t>24</w:t>
      </w:r>
      <w:r>
        <w:rPr>
          <w:rFonts w:hint="eastAsia" w:ascii="宋体" w:hAnsi="宋体" w:cs="Microsoft JhengHei"/>
          <w:b/>
          <w:bCs/>
          <w:kern w:val="0"/>
          <w:szCs w:val="21"/>
          <w:lang w:val="zh-CN"/>
        </w:rPr>
        <w:t>. 争议的解决</w:t>
      </w:r>
      <w:bookmarkEnd w:id="735"/>
      <w:bookmarkEnd w:id="736"/>
      <w:bookmarkEnd w:id="737"/>
      <w:bookmarkEnd w:id="738"/>
      <w:bookmarkEnd w:id="739"/>
      <w:bookmarkEnd w:id="740"/>
      <w:bookmarkEnd w:id="741"/>
      <w:bookmarkEnd w:id="742"/>
      <w:bookmarkEnd w:id="743"/>
      <w:bookmarkEnd w:id="744"/>
      <w:bookmarkEnd w:id="745"/>
      <w:bookmarkEnd w:id="746"/>
    </w:p>
    <w:p>
      <w:pPr>
        <w:topLinePunct/>
        <w:spacing w:line="360" w:lineRule="auto"/>
        <w:jc w:val="left"/>
        <w:outlineLvl w:val="2"/>
        <w:rPr>
          <w:rFonts w:ascii="宋体" w:hAnsi="宋体" w:cs="宋体"/>
          <w:kern w:val="0"/>
          <w:szCs w:val="21"/>
          <w:lang w:val="zh-CN"/>
        </w:rPr>
      </w:pPr>
      <w:bookmarkStart w:id="747" w:name="_Toc21622661"/>
      <w:bookmarkStart w:id="748" w:name="_Toc66038581"/>
      <w:bookmarkStart w:id="749" w:name="_Toc66038306"/>
      <w:bookmarkStart w:id="750" w:name="_Toc221951335"/>
      <w:r>
        <w:rPr>
          <w:rFonts w:hint="eastAsia" w:ascii="宋体" w:hAnsi="宋体" w:cs="宋体"/>
          <w:kern w:val="0"/>
          <w:szCs w:val="21"/>
          <w:lang w:val="zh-CN"/>
        </w:rPr>
        <w:t>24.1 争议的解决方式</w:t>
      </w:r>
      <w:bookmarkEnd w:id="747"/>
      <w:bookmarkEnd w:id="748"/>
      <w:bookmarkEnd w:id="749"/>
    </w:p>
    <w:p>
      <w:pPr>
        <w:topLinePunct/>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合同当事人友好协商解决不成、不愿提请争议评审或不接受争议评审组意见的，约定的合同争议解决方式 ：</w:t>
      </w:r>
      <w:r>
        <w:rPr>
          <w:rFonts w:hint="eastAsia" w:ascii="宋体" w:hAnsi="宋体" w:cs="宋体"/>
          <w:kern w:val="0"/>
          <w:szCs w:val="21"/>
          <w:u w:val="single"/>
          <w:lang w:val="zh-CN"/>
        </w:rPr>
        <w:t>向项目所在地人民法院提起诉讼</w:t>
      </w:r>
      <w:r>
        <w:rPr>
          <w:rFonts w:hint="eastAsia" w:ascii="宋体" w:hAnsi="宋体" w:cs="宋体"/>
          <w:kern w:val="0"/>
          <w:szCs w:val="21"/>
          <w:lang w:val="zh-CN"/>
        </w:rPr>
        <w:t>。</w:t>
      </w:r>
      <w:bookmarkEnd w:id="750"/>
    </w:p>
    <w:p>
      <w:pPr>
        <w:pStyle w:val="142"/>
        <w:keepNext w:val="0"/>
        <w:keepLines w:val="0"/>
        <w:pageBreakBefore w:val="0"/>
        <w:widowControl w:val="0"/>
        <w:kinsoku/>
        <w:wordWrap/>
        <w:overflowPunct/>
        <w:topLinePunct w:val="0"/>
        <w:autoSpaceDE w:val="0"/>
        <w:autoSpaceDN/>
        <w:bidi w:val="0"/>
        <w:adjustRightInd/>
        <w:spacing w:line="420" w:lineRule="exact"/>
        <w:textAlignment w:val="auto"/>
        <w:rPr>
          <w:rStyle w:val="40"/>
          <w:b/>
          <w:bCs/>
          <w:kern w:val="2"/>
          <w:sz w:val="24"/>
          <w:szCs w:val="24"/>
          <w:highlight w:val="none"/>
          <w:lang w:val="en-US" w:eastAsia="zh-CN" w:bidi="ar-SA"/>
        </w:rPr>
      </w:pPr>
      <w:r>
        <w:rPr>
          <w:rStyle w:val="40"/>
          <w:rFonts w:hint="eastAsia" w:ascii="宋体" w:hAnsi="宋体"/>
          <w:b/>
          <w:bCs/>
          <w:kern w:val="2"/>
          <w:sz w:val="24"/>
          <w:szCs w:val="24"/>
          <w:highlight w:val="none"/>
          <w:lang w:val="en-US" w:eastAsia="zh-CN" w:bidi="ar-SA"/>
        </w:rPr>
        <w:t>补充条款：</w:t>
      </w:r>
    </w:p>
    <w:p>
      <w:pPr>
        <w:pStyle w:val="142"/>
        <w:keepNext w:val="0"/>
        <w:keepLines w:val="0"/>
        <w:pageBreakBefore w:val="0"/>
        <w:widowControl w:val="0"/>
        <w:kinsoku/>
        <w:wordWrap/>
        <w:overflowPunct/>
        <w:topLinePunct w:val="0"/>
        <w:autoSpaceDE w:val="0"/>
        <w:autoSpaceDN/>
        <w:bidi w:val="0"/>
        <w:adjustRightInd/>
        <w:spacing w:line="420" w:lineRule="exact"/>
        <w:textAlignment w:val="auto"/>
        <w:rPr>
          <w:rStyle w:val="40"/>
          <w:rFonts w:hint="eastAsia" w:ascii="宋体" w:hAnsi="宋体"/>
          <w:b/>
          <w:bCs/>
          <w:kern w:val="2"/>
          <w:sz w:val="24"/>
          <w:szCs w:val="24"/>
          <w:highlight w:val="none"/>
          <w:lang w:val="en-US" w:eastAsia="zh-CN" w:bidi="ar-SA"/>
        </w:rPr>
      </w:pPr>
      <w:r>
        <w:rPr>
          <w:rStyle w:val="40"/>
          <w:rFonts w:hint="eastAsia" w:ascii="宋体" w:hAnsi="宋体"/>
          <w:b/>
          <w:bCs/>
          <w:kern w:val="2"/>
          <w:sz w:val="24"/>
          <w:szCs w:val="24"/>
          <w:highlight w:val="none"/>
          <w:lang w:val="en-US" w:eastAsia="zh-CN" w:bidi="ar-SA"/>
        </w:rPr>
        <w:t>1.本工程施工现场用电由承包人自行解决。</w:t>
      </w:r>
    </w:p>
    <w:p>
      <w:pPr>
        <w:pStyle w:val="68"/>
        <w:keepNext w:val="0"/>
        <w:keepLines w:val="0"/>
        <w:pageBreakBefore w:val="0"/>
        <w:widowControl w:val="0"/>
        <w:kinsoku/>
        <w:wordWrap/>
        <w:overflowPunct/>
        <w:topLinePunct w:val="0"/>
        <w:autoSpaceDN/>
        <w:bidi w:val="0"/>
        <w:adjustRightInd/>
        <w:spacing w:after="0" w:line="420" w:lineRule="exact"/>
        <w:textAlignment w:val="auto"/>
        <w:rPr>
          <w:rFonts w:ascii="宋体" w:hAnsi="宋体" w:eastAsia="宋体" w:cs="宋体"/>
          <w:kern w:val="2"/>
          <w:sz w:val="21"/>
        </w:rPr>
      </w:pPr>
      <w:r>
        <w:rPr>
          <w:rStyle w:val="40"/>
          <w:rFonts w:hint="eastAsia" w:ascii="宋体" w:hAnsi="宋体"/>
          <w:b/>
          <w:bCs/>
          <w:kern w:val="2"/>
          <w:sz w:val="24"/>
          <w:szCs w:val="24"/>
          <w:highlight w:val="none"/>
          <w:lang w:val="en-US" w:eastAsia="zh-CN" w:bidi="ar-SA"/>
        </w:rPr>
        <w:t>2.承包人按签约合同价的2.5%计提安全生产措施费，该项费用已经包含在签约合同价中，发包人不再另行支付。</w:t>
      </w:r>
      <w:bookmarkStart w:id="751" w:name="_Toc229305402"/>
    </w:p>
    <w:p>
      <w:pPr>
        <w:pStyle w:val="68"/>
        <w:keepNext w:val="0"/>
        <w:keepLines w:val="0"/>
        <w:pageBreakBefore w:val="0"/>
        <w:widowControl w:val="0"/>
        <w:kinsoku/>
        <w:wordWrap/>
        <w:overflowPunct/>
        <w:topLinePunct w:val="0"/>
        <w:autoSpaceDN/>
        <w:bidi w:val="0"/>
        <w:adjustRightInd/>
        <w:spacing w:after="0" w:line="420" w:lineRule="exact"/>
        <w:textAlignment w:val="auto"/>
        <w:rPr>
          <w:rStyle w:val="40"/>
          <w:rFonts w:hint="eastAsia" w:ascii="宋体" w:hAnsi="宋体"/>
          <w:b/>
          <w:bCs/>
          <w:kern w:val="2"/>
          <w:sz w:val="24"/>
          <w:szCs w:val="24"/>
          <w:highlight w:val="none"/>
          <w:lang w:val="en-US" w:eastAsia="zh-CN" w:bidi="ar-SA"/>
        </w:rPr>
      </w:pPr>
      <w:r>
        <w:rPr>
          <w:rStyle w:val="40"/>
          <w:rFonts w:hint="eastAsia" w:ascii="宋体" w:hAnsi="宋体"/>
          <w:b/>
          <w:bCs/>
          <w:kern w:val="2"/>
          <w:sz w:val="24"/>
          <w:szCs w:val="24"/>
          <w:highlight w:val="none"/>
          <w:lang w:val="en-US" w:eastAsia="zh-CN" w:bidi="ar-SA"/>
        </w:rPr>
        <w:t>3.暂定价中的其他临时工程包含但不限于基坑排水、施工仓库、导流沟、便道等，竣工决算审计时按实际发生结算。</w:t>
      </w:r>
    </w:p>
    <w:p>
      <w:pPr>
        <w:pStyle w:val="68"/>
        <w:keepNext w:val="0"/>
        <w:keepLines w:val="0"/>
        <w:pageBreakBefore w:val="0"/>
        <w:widowControl w:val="0"/>
        <w:kinsoku/>
        <w:wordWrap/>
        <w:overflowPunct/>
        <w:topLinePunct w:val="0"/>
        <w:autoSpaceDN/>
        <w:bidi w:val="0"/>
        <w:adjustRightInd/>
        <w:spacing w:after="0" w:line="420" w:lineRule="exact"/>
        <w:textAlignment w:val="auto"/>
        <w:rPr>
          <w:rStyle w:val="40"/>
          <w:rFonts w:hint="eastAsia" w:ascii="宋体" w:hAnsi="宋体"/>
          <w:b/>
          <w:bCs/>
          <w:kern w:val="2"/>
          <w:sz w:val="24"/>
          <w:szCs w:val="24"/>
          <w:highlight w:val="none"/>
          <w:lang w:val="en-US" w:eastAsia="zh-CN" w:bidi="ar-SA"/>
        </w:rPr>
      </w:pPr>
      <w:r>
        <w:rPr>
          <w:rStyle w:val="40"/>
          <w:rFonts w:hint="eastAsia" w:ascii="宋体" w:hAnsi="宋体"/>
          <w:b/>
          <w:bCs/>
          <w:kern w:val="2"/>
          <w:sz w:val="24"/>
          <w:szCs w:val="24"/>
          <w:highlight w:val="none"/>
          <w:lang w:val="en-US" w:eastAsia="zh-CN" w:bidi="ar-SA"/>
        </w:rPr>
        <w:t>4.本合同为固定单价合同。</w:t>
      </w: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68"/>
        <w:rPr>
          <w:rFonts w:ascii="宋体" w:hAnsi="宋体" w:cs="宋体"/>
          <w:kern w:val="2"/>
          <w:sz w:val="21"/>
        </w:rPr>
      </w:pPr>
    </w:p>
    <w:p>
      <w:pPr>
        <w:pStyle w:val="70"/>
        <w:jc w:val="center"/>
        <w:rPr>
          <w:rFonts w:ascii="宋体" w:hAnsi="宋体" w:eastAsia="宋体" w:cs="宋体"/>
          <w:kern w:val="2"/>
        </w:rPr>
      </w:pPr>
      <w:bookmarkStart w:id="752" w:name="_Toc256000035"/>
      <w:bookmarkStart w:id="753" w:name="_Toc145666799"/>
      <w:r>
        <w:rPr>
          <w:rFonts w:hint="eastAsia" w:ascii="宋体" w:hAnsi="宋体" w:eastAsia="宋体" w:cs="宋体"/>
          <w:kern w:val="2"/>
        </w:rPr>
        <w:t>第三节合同附件格式</w:t>
      </w:r>
      <w:bookmarkEnd w:id="357"/>
      <w:bookmarkEnd w:id="358"/>
      <w:bookmarkEnd w:id="359"/>
      <w:bookmarkEnd w:id="751"/>
      <w:bookmarkEnd w:id="752"/>
      <w:bookmarkEnd w:id="753"/>
    </w:p>
    <w:p>
      <w:pPr>
        <w:pStyle w:val="67"/>
        <w:spacing w:line="400" w:lineRule="exact"/>
        <w:rPr>
          <w:rFonts w:ascii="宋体" w:hAnsi="宋体" w:eastAsia="宋体" w:cs="宋体"/>
          <w:kern w:val="2"/>
          <w:sz w:val="21"/>
        </w:rPr>
      </w:pPr>
      <w:r>
        <w:rPr>
          <w:rFonts w:hint="eastAsia" w:ascii="宋体" w:hAnsi="宋体" w:eastAsia="宋体" w:cs="宋体"/>
          <w:kern w:val="2"/>
          <w:sz w:val="21"/>
        </w:rPr>
        <w:br w:type="page"/>
      </w:r>
    </w:p>
    <w:p>
      <w:pPr>
        <w:pStyle w:val="76"/>
        <w:rPr>
          <w:rFonts w:hAnsi="宋体" w:cs="宋体"/>
          <w:color w:val="auto"/>
          <w:kern w:val="2"/>
        </w:rPr>
      </w:pPr>
      <w:bookmarkStart w:id="754" w:name="_Toc256000036"/>
      <w:bookmarkStart w:id="755" w:name="_Toc144974827"/>
      <w:bookmarkStart w:id="756" w:name="_Toc168475884"/>
      <w:bookmarkStart w:id="757" w:name="_Toc168476287"/>
      <w:r>
        <w:rPr>
          <w:rFonts w:hint="eastAsia" w:hAnsi="宋体" w:cs="宋体"/>
          <w:color w:val="auto"/>
          <w:kern w:val="2"/>
        </w:rPr>
        <w:t>附件一：</w:t>
      </w:r>
      <w:bookmarkEnd w:id="754"/>
      <w:bookmarkEnd w:id="755"/>
      <w:bookmarkEnd w:id="756"/>
      <w:bookmarkEnd w:id="757"/>
    </w:p>
    <w:p>
      <w:pPr>
        <w:pStyle w:val="78"/>
        <w:rPr>
          <w:rFonts w:hAnsi="宋体" w:eastAsia="宋体"/>
          <w:b/>
          <w:color w:val="auto"/>
          <w:kern w:val="2"/>
          <w:sz w:val="32"/>
          <w:szCs w:val="32"/>
        </w:rPr>
      </w:pPr>
      <w:bookmarkStart w:id="758" w:name="_Toc256000037"/>
      <w:r>
        <w:rPr>
          <w:rFonts w:hint="eastAsia" w:hAnsi="宋体" w:eastAsia="宋体"/>
          <w:b/>
          <w:color w:val="auto"/>
          <w:kern w:val="2"/>
          <w:sz w:val="32"/>
          <w:szCs w:val="32"/>
        </w:rPr>
        <w:t>合同协议书</w:t>
      </w:r>
      <w:bookmarkEnd w:id="758"/>
    </w:p>
    <w:p>
      <w:pPr>
        <w:pStyle w:val="67"/>
        <w:spacing w:line="440" w:lineRule="exact"/>
        <w:rPr>
          <w:rFonts w:ascii="宋体" w:hAnsi="宋体" w:eastAsia="宋体" w:cs="宋体"/>
          <w:b/>
          <w:kern w:val="2"/>
          <w:sz w:val="21"/>
          <w:szCs w:val="21"/>
        </w:rPr>
      </w:pPr>
    </w:p>
    <w:p>
      <w:pPr>
        <w:pStyle w:val="67"/>
        <w:spacing w:line="440" w:lineRule="exact"/>
        <w:ind w:firstLine="462" w:firstLineChars="220"/>
        <w:rPr>
          <w:rFonts w:ascii="宋体" w:hAnsi="宋体" w:eastAsia="宋体" w:cs="宋体"/>
          <w:kern w:val="2"/>
          <w:sz w:val="21"/>
          <w:szCs w:val="21"/>
        </w:rPr>
      </w:pPr>
      <w:r>
        <w:rPr>
          <w:rFonts w:hint="eastAsia" w:ascii="宋体" w:hAnsi="宋体" w:eastAsia="宋体" w:cs="宋体"/>
          <w:kern w:val="2"/>
          <w:sz w:val="21"/>
          <w:szCs w:val="21"/>
          <w:u w:val="single"/>
          <w:lang w:eastAsia="zh-CN"/>
        </w:rPr>
        <w:t>大石桥市水利事务中心</w:t>
      </w:r>
      <w:r>
        <w:rPr>
          <w:rFonts w:hint="eastAsia" w:ascii="宋体" w:hAnsi="宋体" w:eastAsia="宋体" w:cs="宋体"/>
          <w:kern w:val="2"/>
          <w:sz w:val="21"/>
          <w:szCs w:val="21"/>
          <w:u w:val="single"/>
        </w:rPr>
        <w:t>（</w:t>
      </w:r>
      <w:r>
        <w:rPr>
          <w:rFonts w:hint="eastAsia" w:ascii="宋体" w:hAnsi="宋体" w:eastAsia="宋体" w:cs="宋体"/>
          <w:kern w:val="2"/>
          <w:sz w:val="21"/>
          <w:szCs w:val="21"/>
        </w:rPr>
        <w:t>以下简称“发包人”</w:t>
      </w:r>
      <w:r>
        <w:rPr>
          <w:rFonts w:hint="eastAsia" w:ascii="宋体" w:hAnsi="宋体" w:eastAsia="宋体" w:cs="宋体"/>
          <w:kern w:val="2"/>
          <w:sz w:val="21"/>
          <w:szCs w:val="21"/>
          <w:u w:val="single"/>
        </w:rPr>
        <w:t>）</w:t>
      </w:r>
      <w:r>
        <w:rPr>
          <w:rFonts w:hint="eastAsia" w:ascii="宋体" w:hAnsi="宋体" w:eastAsia="宋体" w:cs="宋体"/>
          <w:kern w:val="2"/>
          <w:sz w:val="21"/>
          <w:szCs w:val="21"/>
        </w:rPr>
        <w:t>为实施</w:t>
      </w:r>
      <w:r>
        <w:rPr>
          <w:rFonts w:hint="eastAsia" w:ascii="宋体" w:hAnsi="宋体" w:eastAsia="宋体" w:cs="宋体"/>
          <w:kern w:val="2"/>
          <w:sz w:val="21"/>
          <w:szCs w:val="21"/>
          <w:u w:val="single"/>
          <w:lang w:eastAsia="zh-CN"/>
        </w:rPr>
        <w:t>大石桥市2024年第一批中央水库移民后期扶持资金项目</w:t>
      </w:r>
      <w:r>
        <w:rPr>
          <w:rFonts w:hint="eastAsia" w:ascii="宋体" w:hAnsi="宋体" w:eastAsia="宋体" w:cs="宋体"/>
          <w:kern w:val="2"/>
          <w:sz w:val="21"/>
          <w:szCs w:val="21"/>
        </w:rPr>
        <w:t>，已接受（承包人名称，以下简称“承包人”）对</w:t>
      </w:r>
      <w:r>
        <w:rPr>
          <w:rFonts w:hint="eastAsia" w:ascii="宋体" w:hAnsi="宋体" w:eastAsia="宋体" w:cs="宋体"/>
          <w:kern w:val="2"/>
          <w:sz w:val="21"/>
          <w:szCs w:val="21"/>
          <w:u w:val="single"/>
          <w:lang w:eastAsia="zh-CN"/>
        </w:rPr>
        <w:t>大石桥市2024年第一批中央水库移民后期扶持资金项目</w:t>
      </w:r>
      <w:r>
        <w:rPr>
          <w:rFonts w:hint="eastAsia" w:ascii="宋体" w:hAnsi="宋体" w:eastAsia="宋体" w:cs="宋体"/>
          <w:kern w:val="2"/>
          <w:sz w:val="21"/>
          <w:szCs w:val="21"/>
        </w:rPr>
        <w:t>的投标，并确定其为中标人。发包人和承包人共同达成如下协议。</w:t>
      </w:r>
    </w:p>
    <w:p>
      <w:pPr>
        <w:pStyle w:val="67"/>
        <w:spacing w:line="300" w:lineRule="auto"/>
        <w:ind w:firstLine="420" w:firstLineChars="200"/>
        <w:rPr>
          <w:rFonts w:ascii="宋体" w:hAnsi="宋体" w:eastAsia="宋体" w:cs="宋体"/>
          <w:kern w:val="2"/>
          <w:sz w:val="21"/>
        </w:rPr>
      </w:pPr>
      <w:bookmarkStart w:id="759" w:name="_Toc168475885"/>
      <w:bookmarkStart w:id="760" w:name="_Toc144974828"/>
      <w:bookmarkStart w:id="761" w:name="_Toc168476288"/>
      <w:r>
        <w:rPr>
          <w:rFonts w:hint="eastAsia" w:ascii="宋体" w:hAnsi="宋体" w:eastAsia="宋体" w:cs="宋体"/>
          <w:kern w:val="2"/>
          <w:sz w:val="21"/>
        </w:rPr>
        <w:t>1.本协议书与下列文件一起构成合同文件：</w:t>
      </w:r>
      <w:bookmarkEnd w:id="759"/>
      <w:bookmarkEnd w:id="760"/>
      <w:bookmarkEnd w:id="761"/>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（1）中标通知书；</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（2）投标函及投标函附录；</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（3）专用合同条款；</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（4）通用合同条款；</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（5）技术标准和要求（合同技术条款）；</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（6）图纸；</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（7）已标价工程量清单；</w:t>
      </w:r>
    </w:p>
    <w:p>
      <w:pPr>
        <w:pStyle w:val="67"/>
        <w:spacing w:line="300" w:lineRule="auto"/>
        <w:ind w:firstLine="315" w:firstLineChars="150"/>
        <w:rPr>
          <w:rFonts w:ascii="宋体" w:hAnsi="宋体" w:eastAsia="宋体" w:cs="宋体"/>
          <w:kern w:val="2"/>
          <w:sz w:val="21"/>
        </w:rPr>
      </w:pPr>
      <w:r>
        <w:rPr>
          <w:rFonts w:hint="eastAsia" w:ascii="宋体" w:hAnsi="宋体" w:eastAsia="宋体" w:cs="宋体"/>
          <w:kern w:val="2"/>
          <w:sz w:val="21"/>
        </w:rPr>
        <w:t>（8）其他合同文件。</w:t>
      </w:r>
    </w:p>
    <w:p>
      <w:pPr>
        <w:pStyle w:val="67"/>
        <w:spacing w:line="300" w:lineRule="auto"/>
        <w:ind w:firstLine="420" w:firstLineChars="200"/>
        <w:rPr>
          <w:rFonts w:ascii="宋体" w:hAnsi="宋体" w:eastAsia="宋体" w:cs="宋体"/>
          <w:kern w:val="2"/>
          <w:sz w:val="21"/>
        </w:rPr>
      </w:pPr>
      <w:bookmarkStart w:id="762" w:name="_Toc168476289"/>
      <w:bookmarkStart w:id="763" w:name="_Toc168475886"/>
      <w:bookmarkStart w:id="764" w:name="_Toc144974829"/>
      <w:r>
        <w:rPr>
          <w:rFonts w:hint="eastAsia" w:ascii="宋体" w:hAnsi="宋体" w:eastAsia="宋体" w:cs="宋体"/>
          <w:kern w:val="2"/>
          <w:sz w:val="21"/>
        </w:rPr>
        <w:t>2.上述文件互相补充和解释，如有不明确或不一致之处，以合同约定次序在先者为准。</w:t>
      </w:r>
      <w:bookmarkEnd w:id="762"/>
      <w:bookmarkEnd w:id="763"/>
      <w:bookmarkEnd w:id="764"/>
    </w:p>
    <w:p>
      <w:pPr>
        <w:pStyle w:val="67"/>
        <w:spacing w:line="300" w:lineRule="auto"/>
        <w:ind w:firstLine="420" w:firstLineChars="200"/>
        <w:rPr>
          <w:rFonts w:ascii="宋体" w:hAnsi="宋体" w:eastAsia="宋体" w:cs="宋体"/>
          <w:kern w:val="2"/>
          <w:sz w:val="21"/>
        </w:rPr>
      </w:pPr>
      <w:r>
        <w:rPr>
          <w:rFonts w:hint="eastAsia" w:ascii="宋体" w:hAnsi="宋体" w:eastAsia="宋体" w:cs="宋体"/>
          <w:kern w:val="2"/>
          <w:sz w:val="21"/>
        </w:rPr>
        <w:t>3.签约合同价：</w:t>
      </w:r>
    </w:p>
    <w:p>
      <w:pPr>
        <w:pStyle w:val="67"/>
        <w:spacing w:line="300" w:lineRule="auto"/>
        <w:ind w:firstLine="420" w:firstLineChars="200"/>
        <w:rPr>
          <w:rFonts w:ascii="宋体" w:hAnsi="宋体" w:eastAsia="宋体" w:cs="宋体"/>
          <w:kern w:val="2"/>
          <w:sz w:val="21"/>
        </w:rPr>
      </w:pPr>
      <w:r>
        <w:rPr>
          <w:rFonts w:hint="eastAsia" w:ascii="宋体" w:hAnsi="宋体" w:eastAsia="宋体" w:cs="宋体"/>
          <w:kern w:val="2"/>
          <w:sz w:val="21"/>
        </w:rPr>
        <w:t xml:space="preserve">人民币（大写）元 </w:t>
      </w:r>
      <w:r>
        <w:rPr>
          <w:rFonts w:ascii="宋体" w:hAnsi="宋体" w:eastAsia="宋体" w:cs="宋体"/>
          <w:kern w:val="2"/>
          <w:sz w:val="21"/>
        </w:rPr>
        <w:t xml:space="preserve">                                              </w:t>
      </w:r>
      <w:r>
        <w:rPr>
          <w:rFonts w:hint="eastAsia" w:ascii="宋体" w:hAnsi="宋体" w:eastAsia="宋体" w:cs="宋体"/>
          <w:kern w:val="2"/>
          <w:sz w:val="21"/>
        </w:rPr>
        <w:t>（¥元）。</w:t>
      </w:r>
    </w:p>
    <w:p>
      <w:pPr>
        <w:pStyle w:val="67"/>
        <w:spacing w:line="300" w:lineRule="auto"/>
        <w:ind w:firstLine="420" w:firstLineChars="200"/>
        <w:rPr>
          <w:rFonts w:hint="eastAsia" w:ascii="宋体" w:hAnsi="宋体" w:eastAsia="宋体" w:cs="宋体"/>
          <w:kern w:val="2"/>
          <w:sz w:val="21"/>
          <w:u w:val="single"/>
          <w:lang w:val="en-US" w:eastAsia="zh-CN"/>
        </w:rPr>
      </w:pPr>
      <w:r>
        <w:rPr>
          <w:rFonts w:hint="eastAsia" w:ascii="宋体" w:hAnsi="宋体" w:eastAsia="宋体" w:cs="宋体"/>
          <w:kern w:val="2"/>
          <w:sz w:val="21"/>
        </w:rPr>
        <w:t>4.工期：</w:t>
      </w:r>
      <w:r>
        <w:rPr>
          <w:rFonts w:hint="eastAsia" w:ascii="宋体" w:hAnsi="宋体" w:eastAsia="宋体" w:cs="宋体"/>
          <w:kern w:val="2"/>
          <w:sz w:val="21"/>
          <w:lang w:val="en-US" w:eastAsia="zh-CN"/>
        </w:rPr>
        <w:t xml:space="preserve"> </w:t>
      </w:r>
    </w:p>
    <w:p>
      <w:pPr>
        <w:pStyle w:val="67"/>
        <w:spacing w:line="300" w:lineRule="auto"/>
        <w:ind w:firstLine="420" w:firstLineChars="200"/>
        <w:rPr>
          <w:rFonts w:ascii="宋体" w:hAnsi="宋体" w:eastAsia="宋体" w:cs="宋体"/>
          <w:kern w:val="2"/>
          <w:sz w:val="21"/>
          <w:u w:val="single"/>
        </w:rPr>
      </w:pPr>
      <w:r>
        <w:rPr>
          <w:rFonts w:hint="eastAsia" w:ascii="宋体" w:hAnsi="宋体" w:eastAsia="宋体" w:cs="宋体"/>
          <w:kern w:val="2"/>
          <w:sz w:val="21"/>
        </w:rPr>
        <w:t>5</w:t>
      </w:r>
      <w:r>
        <w:rPr>
          <w:rFonts w:ascii="宋体" w:hAnsi="宋体" w:eastAsia="宋体" w:cs="宋体"/>
          <w:kern w:val="2"/>
          <w:sz w:val="21"/>
        </w:rPr>
        <w:t>.</w:t>
      </w:r>
      <w:r>
        <w:rPr>
          <w:rFonts w:hint="eastAsia" w:ascii="宋体" w:hAnsi="宋体" w:eastAsia="宋体" w:cs="宋体"/>
          <w:kern w:val="2"/>
          <w:sz w:val="21"/>
        </w:rPr>
        <w:t xml:space="preserve">承包人项目经理： </w:t>
      </w:r>
      <w:r>
        <w:rPr>
          <w:rFonts w:ascii="宋体" w:hAnsi="宋体" w:eastAsia="宋体" w:cs="宋体"/>
          <w:kern w:val="2"/>
          <w:sz w:val="21"/>
        </w:rPr>
        <w:t xml:space="preserve">                           </w:t>
      </w:r>
      <w:r>
        <w:rPr>
          <w:rFonts w:hint="eastAsia" w:ascii="宋体" w:hAnsi="宋体" w:eastAsia="宋体" w:cs="宋体"/>
          <w:kern w:val="2"/>
          <w:sz w:val="21"/>
        </w:rPr>
        <w:t>。</w:t>
      </w:r>
    </w:p>
    <w:p>
      <w:pPr>
        <w:pStyle w:val="67"/>
        <w:spacing w:line="300" w:lineRule="auto"/>
        <w:ind w:firstLine="420" w:firstLineChars="200"/>
        <w:rPr>
          <w:rFonts w:ascii="宋体" w:hAnsi="宋体" w:eastAsia="宋体" w:cs="宋体"/>
          <w:kern w:val="2"/>
          <w:sz w:val="21"/>
          <w:u w:val="single"/>
        </w:rPr>
      </w:pPr>
      <w:r>
        <w:rPr>
          <w:rFonts w:ascii="宋体" w:hAnsi="宋体" w:eastAsia="宋体" w:cs="宋体"/>
          <w:kern w:val="2"/>
          <w:sz w:val="21"/>
        </w:rPr>
        <w:t>6</w:t>
      </w:r>
      <w:r>
        <w:rPr>
          <w:rFonts w:hint="eastAsia" w:ascii="宋体" w:hAnsi="宋体" w:eastAsia="宋体" w:cs="宋体"/>
          <w:kern w:val="2"/>
          <w:sz w:val="21"/>
        </w:rPr>
        <w:t>.工程质量符合标准：</w:t>
      </w:r>
      <w:r>
        <w:rPr>
          <w:rFonts w:hint="eastAsia" w:ascii="宋体" w:hAnsi="宋体" w:eastAsia="宋体" w:cs="宋体"/>
          <w:kern w:val="2"/>
          <w:sz w:val="21"/>
          <w:u w:val="single"/>
        </w:rPr>
        <w:t xml:space="preserve"> 合格</w:t>
      </w:r>
      <w:r>
        <w:rPr>
          <w:rFonts w:ascii="宋体" w:hAnsi="宋体" w:eastAsia="宋体" w:cs="宋体"/>
          <w:kern w:val="2"/>
          <w:sz w:val="21"/>
          <w:u w:val="single"/>
        </w:rPr>
        <w:t xml:space="preserve"> </w:t>
      </w:r>
      <w:r>
        <w:rPr>
          <w:rFonts w:hint="eastAsia" w:ascii="宋体" w:hAnsi="宋体" w:eastAsia="宋体" w:cs="宋体"/>
          <w:kern w:val="2"/>
          <w:sz w:val="21"/>
          <w:u w:val="single"/>
        </w:rPr>
        <w:t>。</w:t>
      </w:r>
    </w:p>
    <w:p>
      <w:pPr>
        <w:pStyle w:val="67"/>
        <w:spacing w:line="300" w:lineRule="auto"/>
        <w:ind w:firstLine="420" w:firstLineChars="200"/>
        <w:rPr>
          <w:rFonts w:ascii="宋体" w:hAnsi="宋体" w:eastAsia="宋体" w:cs="宋体"/>
          <w:kern w:val="2"/>
          <w:sz w:val="21"/>
        </w:rPr>
      </w:pPr>
      <w:r>
        <w:rPr>
          <w:rFonts w:ascii="宋体" w:hAnsi="宋体" w:eastAsia="宋体" w:cs="宋体"/>
          <w:kern w:val="2"/>
          <w:sz w:val="21"/>
        </w:rPr>
        <w:t>7</w:t>
      </w:r>
      <w:r>
        <w:rPr>
          <w:rFonts w:hint="eastAsia" w:ascii="宋体" w:hAnsi="宋体" w:eastAsia="宋体" w:cs="宋体"/>
          <w:kern w:val="2"/>
          <w:sz w:val="21"/>
        </w:rPr>
        <w:t>.承包人承诺按合同约定承担工程的实施、完成及缺陷修复。</w:t>
      </w:r>
    </w:p>
    <w:p>
      <w:pPr>
        <w:pStyle w:val="67"/>
        <w:spacing w:line="300" w:lineRule="auto"/>
        <w:ind w:firstLine="420" w:firstLineChars="200"/>
        <w:rPr>
          <w:rFonts w:ascii="宋体" w:hAnsi="宋体" w:eastAsia="宋体" w:cs="宋体"/>
          <w:kern w:val="2"/>
          <w:sz w:val="21"/>
        </w:rPr>
      </w:pPr>
      <w:r>
        <w:rPr>
          <w:rFonts w:ascii="宋体" w:hAnsi="宋体" w:eastAsia="宋体" w:cs="宋体"/>
          <w:kern w:val="2"/>
          <w:sz w:val="21"/>
        </w:rPr>
        <w:t>8</w:t>
      </w:r>
      <w:r>
        <w:rPr>
          <w:rFonts w:hint="eastAsia" w:ascii="宋体" w:hAnsi="宋体" w:eastAsia="宋体" w:cs="宋体"/>
          <w:kern w:val="2"/>
          <w:sz w:val="21"/>
        </w:rPr>
        <w:t>.发包人承诺按合同约定的条件、时间和方式向承包人支付合同价款。</w:t>
      </w:r>
    </w:p>
    <w:p>
      <w:pPr>
        <w:pStyle w:val="67"/>
        <w:spacing w:line="300" w:lineRule="auto"/>
        <w:ind w:firstLine="420" w:firstLineChars="200"/>
        <w:rPr>
          <w:rFonts w:ascii="宋体" w:hAnsi="宋体" w:eastAsia="宋体" w:cs="宋体"/>
          <w:kern w:val="2"/>
          <w:sz w:val="21"/>
        </w:rPr>
      </w:pPr>
      <w:r>
        <w:rPr>
          <w:rFonts w:ascii="宋体" w:hAnsi="宋体" w:eastAsia="宋体" w:cs="宋体"/>
          <w:kern w:val="2"/>
          <w:sz w:val="21"/>
        </w:rPr>
        <w:t>9</w:t>
      </w:r>
      <w:r>
        <w:rPr>
          <w:rFonts w:hint="eastAsia" w:ascii="宋体" w:hAnsi="宋体" w:eastAsia="宋体" w:cs="宋体"/>
          <w:kern w:val="2"/>
          <w:sz w:val="21"/>
        </w:rPr>
        <w:t>.承包人承诺执行监理人开工通知，计划工期为天。</w:t>
      </w:r>
    </w:p>
    <w:p>
      <w:pPr>
        <w:pStyle w:val="67"/>
        <w:spacing w:line="300" w:lineRule="auto"/>
        <w:ind w:firstLine="420" w:firstLineChars="200"/>
        <w:rPr>
          <w:rFonts w:ascii="宋体" w:hAnsi="宋体" w:eastAsia="宋体" w:cs="宋体"/>
          <w:kern w:val="2"/>
          <w:sz w:val="21"/>
        </w:rPr>
      </w:pPr>
      <w:r>
        <w:rPr>
          <w:rFonts w:ascii="宋体" w:hAnsi="宋体" w:eastAsia="宋体" w:cs="宋体"/>
          <w:kern w:val="2"/>
          <w:sz w:val="21"/>
        </w:rPr>
        <w:t>10</w:t>
      </w:r>
      <w:r>
        <w:rPr>
          <w:rFonts w:hint="eastAsia" w:ascii="宋体" w:hAnsi="宋体" w:eastAsia="宋体" w:cs="宋体"/>
          <w:kern w:val="2"/>
          <w:sz w:val="21"/>
        </w:rPr>
        <w:t>本协议书一式份，合同双方各执一份。</w:t>
      </w:r>
    </w:p>
    <w:p>
      <w:pPr>
        <w:pStyle w:val="67"/>
        <w:spacing w:line="300" w:lineRule="auto"/>
        <w:ind w:firstLine="420" w:firstLineChars="200"/>
        <w:rPr>
          <w:rFonts w:ascii="宋体" w:hAnsi="宋体" w:eastAsia="宋体" w:cs="宋体"/>
          <w:kern w:val="2"/>
          <w:sz w:val="21"/>
        </w:rPr>
      </w:pPr>
      <w:bookmarkStart w:id="765" w:name="_Toc168475887"/>
      <w:bookmarkStart w:id="766" w:name="_Toc168476290"/>
      <w:bookmarkStart w:id="767" w:name="_Toc144974830"/>
      <w:r>
        <w:rPr>
          <w:rFonts w:ascii="宋体" w:hAnsi="宋体" w:eastAsia="宋体" w:cs="宋体"/>
          <w:kern w:val="2"/>
          <w:sz w:val="21"/>
        </w:rPr>
        <w:t>11</w:t>
      </w:r>
      <w:r>
        <w:rPr>
          <w:rFonts w:hint="eastAsia" w:ascii="宋体" w:hAnsi="宋体" w:eastAsia="宋体" w:cs="宋体"/>
          <w:kern w:val="2"/>
          <w:sz w:val="21"/>
        </w:rPr>
        <w:t>.合同未尽事宜，双方另行签订补充协议。补充协议是合同的组成部分。</w:t>
      </w:r>
      <w:bookmarkEnd w:id="765"/>
      <w:bookmarkEnd w:id="766"/>
      <w:bookmarkEnd w:id="767"/>
    </w:p>
    <w:p>
      <w:pPr>
        <w:pStyle w:val="67"/>
        <w:spacing w:line="300" w:lineRule="auto"/>
        <w:rPr>
          <w:rFonts w:ascii="宋体" w:hAnsi="宋体" w:eastAsia="宋体" w:cs="宋体"/>
          <w:kern w:val="2"/>
          <w:sz w:val="21"/>
        </w:rPr>
      </w:pPr>
    </w:p>
    <w:p>
      <w:pPr>
        <w:pStyle w:val="67"/>
        <w:spacing w:line="300" w:lineRule="auto"/>
        <w:rPr>
          <w:rFonts w:ascii="宋体" w:hAnsi="宋体" w:eastAsia="宋体" w:cs="宋体"/>
          <w:kern w:val="2"/>
          <w:sz w:val="21"/>
        </w:rPr>
      </w:pPr>
      <w:r>
        <w:rPr>
          <w:rFonts w:hint="eastAsia" w:ascii="宋体" w:hAnsi="宋体" w:eastAsia="宋体" w:cs="宋体"/>
          <w:kern w:val="2"/>
          <w:sz w:val="21"/>
        </w:rPr>
        <w:t xml:space="preserve">发包人：（盖单位章） </w:t>
      </w:r>
      <w:r>
        <w:rPr>
          <w:rFonts w:ascii="宋体" w:hAnsi="宋体" w:eastAsia="宋体" w:cs="宋体"/>
          <w:kern w:val="2"/>
          <w:sz w:val="21"/>
        </w:rPr>
        <w:t xml:space="preserve">                   </w:t>
      </w:r>
      <w:r>
        <w:rPr>
          <w:rFonts w:hint="eastAsia" w:ascii="宋体" w:hAnsi="宋体" w:eastAsia="宋体" w:cs="宋体"/>
          <w:kern w:val="2"/>
          <w:sz w:val="21"/>
        </w:rPr>
        <w:t>承包人：（盖单位章）</w:t>
      </w:r>
    </w:p>
    <w:p>
      <w:pPr>
        <w:pStyle w:val="67"/>
        <w:spacing w:line="440" w:lineRule="exact"/>
        <w:rPr>
          <w:rFonts w:ascii="宋体" w:hAnsi="宋体" w:eastAsia="宋体" w:cs="宋体"/>
          <w:kern w:val="2"/>
          <w:sz w:val="21"/>
          <w:szCs w:val="21"/>
        </w:rPr>
      </w:pPr>
      <w:r>
        <w:rPr>
          <w:rFonts w:hint="eastAsia" w:ascii="宋体" w:hAnsi="宋体" w:eastAsia="宋体" w:cs="宋体"/>
          <w:kern w:val="2"/>
          <w:sz w:val="21"/>
          <w:szCs w:val="21"/>
        </w:rPr>
        <w:t xml:space="preserve">法定代表人或其委托代理人：（签字） </w:t>
      </w:r>
      <w:r>
        <w:rPr>
          <w:rFonts w:ascii="宋体" w:hAnsi="宋体" w:eastAsia="宋体" w:cs="宋体"/>
          <w:kern w:val="2"/>
          <w:sz w:val="21"/>
          <w:szCs w:val="21"/>
        </w:rPr>
        <w:t xml:space="preserve">    </w:t>
      </w:r>
      <w:r>
        <w:rPr>
          <w:rFonts w:hint="eastAsia" w:ascii="宋体" w:hAnsi="宋体" w:eastAsia="宋体" w:cs="宋体"/>
          <w:kern w:val="2"/>
          <w:sz w:val="21"/>
          <w:szCs w:val="21"/>
        </w:rPr>
        <w:t>法定代表人或其委托代理人：（签字）</w:t>
      </w:r>
    </w:p>
    <w:p>
      <w:pPr>
        <w:pStyle w:val="67"/>
        <w:spacing w:line="440" w:lineRule="exact"/>
        <w:rPr>
          <w:rFonts w:ascii="宋体" w:hAnsi="宋体" w:eastAsia="宋体" w:cs="宋体"/>
          <w:kern w:val="2"/>
          <w:sz w:val="21"/>
          <w:szCs w:val="21"/>
        </w:rPr>
      </w:pPr>
      <w:r>
        <w:rPr>
          <w:rFonts w:hint="eastAsia" w:ascii="宋体" w:hAnsi="宋体" w:eastAsia="宋体" w:cs="宋体"/>
          <w:kern w:val="2"/>
          <w:sz w:val="21"/>
          <w:szCs w:val="21"/>
        </w:rPr>
        <w:t xml:space="preserve">签订日期： </w:t>
      </w:r>
      <w:r>
        <w:rPr>
          <w:rFonts w:ascii="宋体" w:hAnsi="宋体" w:eastAsia="宋体" w:cs="宋体"/>
          <w:kern w:val="2"/>
          <w:sz w:val="21"/>
          <w:szCs w:val="21"/>
        </w:rPr>
        <w:t xml:space="preserve">     </w:t>
      </w:r>
      <w:r>
        <w:rPr>
          <w:rFonts w:hint="eastAsia" w:ascii="宋体" w:hAnsi="宋体" w:eastAsia="宋体" w:cs="宋体"/>
          <w:kern w:val="2"/>
          <w:sz w:val="21"/>
          <w:szCs w:val="21"/>
        </w:rPr>
        <w:t xml:space="preserve">年 </w:t>
      </w:r>
      <w:r>
        <w:rPr>
          <w:rFonts w:ascii="宋体" w:hAnsi="宋体" w:eastAsia="宋体" w:cs="宋体"/>
          <w:kern w:val="2"/>
          <w:sz w:val="21"/>
          <w:szCs w:val="21"/>
        </w:rPr>
        <w:t xml:space="preserve">    </w:t>
      </w:r>
      <w:r>
        <w:rPr>
          <w:rFonts w:hint="eastAsia" w:ascii="宋体" w:hAnsi="宋体" w:eastAsia="宋体" w:cs="宋体"/>
          <w:kern w:val="2"/>
          <w:sz w:val="21"/>
          <w:szCs w:val="21"/>
        </w:rPr>
        <w:t xml:space="preserve">月 </w:t>
      </w:r>
      <w:r>
        <w:rPr>
          <w:rFonts w:ascii="宋体" w:hAnsi="宋体" w:eastAsia="宋体" w:cs="宋体"/>
          <w:kern w:val="2"/>
          <w:sz w:val="21"/>
          <w:szCs w:val="21"/>
        </w:rPr>
        <w:t xml:space="preserve">    </w:t>
      </w:r>
      <w:r>
        <w:rPr>
          <w:rFonts w:hint="eastAsia" w:ascii="宋体" w:hAnsi="宋体" w:eastAsia="宋体" w:cs="宋体"/>
          <w:kern w:val="2"/>
          <w:sz w:val="21"/>
          <w:szCs w:val="21"/>
        </w:rPr>
        <w:t>日</w:t>
      </w:r>
    </w:p>
    <w:p>
      <w:pPr>
        <w:pStyle w:val="67"/>
        <w:spacing w:line="440" w:lineRule="exact"/>
        <w:rPr>
          <w:rFonts w:ascii="宋体" w:hAnsi="宋体" w:eastAsia="宋体" w:cs="宋体"/>
          <w:kern w:val="2"/>
          <w:szCs w:val="20"/>
        </w:rPr>
      </w:pPr>
    </w:p>
    <w:p>
      <w:pPr>
        <w:pStyle w:val="76"/>
        <w:rPr>
          <w:rFonts w:hAnsi="宋体" w:cs="宋体"/>
          <w:color w:val="auto"/>
          <w:kern w:val="2"/>
        </w:rPr>
      </w:pPr>
      <w:bookmarkStart w:id="768" w:name="_Toc256000038"/>
      <w:bookmarkStart w:id="769" w:name="_Toc168475888"/>
      <w:bookmarkStart w:id="770" w:name="_Toc168476291"/>
      <w:bookmarkStart w:id="771" w:name="_Toc144974831"/>
      <w:r>
        <w:rPr>
          <w:rFonts w:hint="eastAsia" w:hAnsi="宋体" w:cs="宋体"/>
          <w:color w:val="auto"/>
          <w:kern w:val="2"/>
        </w:rPr>
        <w:t>附件二：</w:t>
      </w:r>
      <w:bookmarkEnd w:id="768"/>
      <w:bookmarkEnd w:id="769"/>
      <w:bookmarkEnd w:id="770"/>
      <w:bookmarkEnd w:id="771"/>
    </w:p>
    <w:p>
      <w:pPr>
        <w:pStyle w:val="78"/>
        <w:rPr>
          <w:rFonts w:hAnsi="宋体" w:eastAsia="宋体"/>
          <w:color w:val="auto"/>
          <w:kern w:val="2"/>
          <w:sz w:val="28"/>
          <w:szCs w:val="28"/>
        </w:rPr>
      </w:pPr>
      <w:bookmarkStart w:id="772" w:name="_Toc256000039"/>
      <w:r>
        <w:rPr>
          <w:rFonts w:hint="eastAsia" w:hAnsi="宋体" w:eastAsia="宋体"/>
          <w:color w:val="auto"/>
          <w:kern w:val="2"/>
          <w:sz w:val="28"/>
          <w:szCs w:val="28"/>
        </w:rPr>
        <w:t>履约担保</w:t>
      </w:r>
      <w:bookmarkEnd w:id="772"/>
    </w:p>
    <w:p>
      <w:pPr>
        <w:pStyle w:val="67"/>
        <w:spacing w:line="440" w:lineRule="exact"/>
        <w:rPr>
          <w:rFonts w:ascii="宋体" w:hAnsi="宋体" w:eastAsia="宋体" w:cs="宋体"/>
          <w:kern w:val="2"/>
          <w:szCs w:val="20"/>
        </w:rPr>
      </w:pPr>
    </w:p>
    <w:p>
      <w:pPr>
        <w:pStyle w:val="67"/>
        <w:spacing w:line="440" w:lineRule="exact"/>
        <w:rPr>
          <w:rFonts w:ascii="宋体" w:hAnsi="宋体" w:eastAsia="宋体" w:cs="宋体"/>
          <w:kern w:val="2"/>
          <w:sz w:val="21"/>
          <w:szCs w:val="21"/>
        </w:rPr>
      </w:pP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rPr>
        <w:t>（发包人名称）：</w:t>
      </w:r>
    </w:p>
    <w:p>
      <w:pPr>
        <w:pStyle w:val="67"/>
        <w:spacing w:line="440" w:lineRule="exact"/>
        <w:rPr>
          <w:rFonts w:ascii="宋体" w:hAnsi="宋体" w:eastAsia="宋体" w:cs="宋体"/>
          <w:kern w:val="2"/>
          <w:sz w:val="21"/>
          <w:szCs w:val="21"/>
        </w:rPr>
      </w:pPr>
    </w:p>
    <w:p>
      <w:pPr>
        <w:pStyle w:val="67"/>
        <w:spacing w:line="440" w:lineRule="exact"/>
        <w:ind w:firstLine="525" w:firstLineChars="250"/>
        <w:rPr>
          <w:rFonts w:ascii="宋体" w:hAnsi="宋体" w:eastAsia="宋体" w:cs="宋体"/>
          <w:kern w:val="2"/>
          <w:sz w:val="21"/>
          <w:szCs w:val="21"/>
        </w:rPr>
      </w:pPr>
      <w:r>
        <w:rPr>
          <w:rFonts w:hint="eastAsia" w:ascii="宋体" w:hAnsi="宋体" w:eastAsia="宋体" w:cs="宋体"/>
          <w:kern w:val="2"/>
          <w:sz w:val="21"/>
          <w:szCs w:val="21"/>
        </w:rPr>
        <w:t>鉴于（发包人名称，以下简称“发包人”）已接受（承包人名称，以下称“承包人”）于年月日递交的（项目名称）（标段名称）的投标文件。我方愿意无条件地、不可撤销地就承包人履行与你方订立的合同，向你方提供担保。</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1.担保金额人民币（大写）元（¥元）。</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2.担保有效期自发包人与承包人签订的合同生效之日起至发包人签发合同工程完工证书之日止。</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3.在本担保有效期内，因承包人违反合同约定的义务给你方造成经济损失时，我方在收到你方以书面形式提出的在担保金额内的赔偿要求后，无条件地在7天内予以支付。</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4.发包人和承包人按《通用合同条款》第15条变更合同时，我行承担本保函规定的义务不变。</w:t>
      </w:r>
    </w:p>
    <w:p>
      <w:pPr>
        <w:pStyle w:val="67"/>
        <w:spacing w:line="440" w:lineRule="exact"/>
        <w:rPr>
          <w:rFonts w:ascii="宋体" w:hAnsi="宋体" w:eastAsia="宋体" w:cs="宋体"/>
          <w:kern w:val="2"/>
          <w:sz w:val="21"/>
          <w:szCs w:val="21"/>
        </w:rPr>
      </w:pPr>
    </w:p>
    <w:p>
      <w:pPr>
        <w:pStyle w:val="67"/>
        <w:spacing w:line="440" w:lineRule="exact"/>
        <w:rPr>
          <w:rFonts w:ascii="宋体" w:hAnsi="宋体" w:eastAsia="宋体" w:cs="宋体"/>
          <w:kern w:val="2"/>
          <w:sz w:val="21"/>
          <w:szCs w:val="21"/>
        </w:rPr>
      </w:pP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担保人：（盖单位章）</w:t>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法定代表人或其委托代理人：（签字）</w:t>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地址：</w:t>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邮政编码：</w:t>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电话：</w:t>
      </w:r>
    </w:p>
    <w:p>
      <w:pPr>
        <w:pStyle w:val="67"/>
        <w:spacing w:line="440" w:lineRule="exact"/>
        <w:ind w:firstLine="3059" w:firstLineChars="1457"/>
        <w:rPr>
          <w:rFonts w:ascii="宋体" w:hAnsi="宋体" w:eastAsia="宋体" w:cs="宋体"/>
          <w:kern w:val="2"/>
          <w:sz w:val="21"/>
          <w:szCs w:val="21"/>
        </w:rPr>
      </w:pPr>
      <w:r>
        <w:rPr>
          <w:rFonts w:hint="eastAsia" w:ascii="宋体" w:hAnsi="宋体" w:eastAsia="宋体" w:cs="宋体"/>
          <w:kern w:val="2"/>
          <w:sz w:val="21"/>
          <w:szCs w:val="21"/>
        </w:rPr>
        <w:t>传真：</w:t>
      </w:r>
    </w:p>
    <w:p>
      <w:pPr>
        <w:pStyle w:val="67"/>
        <w:spacing w:line="440" w:lineRule="exact"/>
        <w:ind w:firstLine="3689" w:firstLineChars="1757"/>
        <w:rPr>
          <w:rFonts w:ascii="宋体" w:hAnsi="宋体" w:eastAsia="宋体" w:cs="宋体"/>
          <w:kern w:val="2"/>
          <w:sz w:val="21"/>
          <w:szCs w:val="21"/>
        </w:rPr>
      </w:pPr>
      <w:r>
        <w:rPr>
          <w:rFonts w:hint="eastAsia" w:ascii="宋体" w:hAnsi="宋体" w:eastAsia="宋体" w:cs="宋体"/>
          <w:kern w:val="2"/>
          <w:sz w:val="21"/>
          <w:szCs w:val="21"/>
        </w:rPr>
        <w:t>年月日</w:t>
      </w:r>
    </w:p>
    <w:p>
      <w:pPr>
        <w:pStyle w:val="67"/>
        <w:spacing w:line="400" w:lineRule="exact"/>
        <w:rPr>
          <w:rFonts w:ascii="宋体" w:hAnsi="宋体" w:eastAsia="宋体" w:cs="宋体"/>
          <w:kern w:val="2"/>
          <w:sz w:val="21"/>
        </w:rPr>
      </w:pPr>
      <w:r>
        <w:rPr>
          <w:rFonts w:hint="eastAsia" w:ascii="宋体" w:hAnsi="宋体" w:eastAsia="宋体" w:cs="宋体"/>
          <w:kern w:val="2"/>
          <w:sz w:val="21"/>
        </w:rPr>
        <w:br w:type="page"/>
      </w:r>
    </w:p>
    <w:p>
      <w:pPr>
        <w:pStyle w:val="76"/>
        <w:rPr>
          <w:rFonts w:hAnsi="宋体" w:cs="宋体"/>
          <w:color w:val="auto"/>
          <w:kern w:val="2"/>
        </w:rPr>
      </w:pPr>
      <w:bookmarkStart w:id="773" w:name="_Toc168476292"/>
      <w:bookmarkStart w:id="774" w:name="_Toc256000040"/>
      <w:bookmarkStart w:id="775" w:name="_Toc168475889"/>
      <w:bookmarkStart w:id="776" w:name="_Toc144974833"/>
      <w:r>
        <w:rPr>
          <w:rFonts w:hint="eastAsia" w:hAnsi="宋体" w:cs="宋体"/>
          <w:color w:val="auto"/>
          <w:kern w:val="2"/>
        </w:rPr>
        <w:t>附件三：</w:t>
      </w:r>
      <w:bookmarkEnd w:id="773"/>
      <w:bookmarkEnd w:id="774"/>
      <w:bookmarkEnd w:id="775"/>
      <w:bookmarkEnd w:id="776"/>
    </w:p>
    <w:p>
      <w:pPr>
        <w:pStyle w:val="78"/>
        <w:rPr>
          <w:rFonts w:hAnsi="宋体" w:eastAsia="宋体"/>
          <w:color w:val="auto"/>
          <w:kern w:val="2"/>
          <w:sz w:val="28"/>
          <w:szCs w:val="28"/>
        </w:rPr>
      </w:pPr>
      <w:bookmarkStart w:id="777" w:name="_Toc256000041"/>
      <w:r>
        <w:rPr>
          <w:rFonts w:hint="eastAsia" w:hAnsi="宋体" w:eastAsia="宋体"/>
          <w:color w:val="auto"/>
          <w:kern w:val="2"/>
          <w:sz w:val="28"/>
          <w:szCs w:val="28"/>
        </w:rPr>
        <w:t>预付款担保函</w:t>
      </w:r>
      <w:bookmarkEnd w:id="777"/>
    </w:p>
    <w:p>
      <w:pPr>
        <w:pStyle w:val="67"/>
        <w:spacing w:line="440" w:lineRule="exact"/>
        <w:rPr>
          <w:rFonts w:ascii="宋体" w:hAnsi="宋体" w:eastAsia="宋体" w:cs="宋体"/>
          <w:kern w:val="2"/>
          <w:szCs w:val="20"/>
        </w:rPr>
      </w:pPr>
    </w:p>
    <w:p>
      <w:pPr>
        <w:pStyle w:val="67"/>
        <w:spacing w:line="440" w:lineRule="exact"/>
        <w:rPr>
          <w:rFonts w:ascii="宋体" w:hAnsi="宋体" w:eastAsia="宋体" w:cs="宋体"/>
          <w:kern w:val="2"/>
          <w:sz w:val="21"/>
          <w:szCs w:val="21"/>
        </w:rPr>
      </w:pP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rPr>
        <w:t>（发包人名称）：</w:t>
      </w:r>
    </w:p>
    <w:p>
      <w:pPr>
        <w:pStyle w:val="67"/>
        <w:spacing w:line="440" w:lineRule="exact"/>
        <w:rPr>
          <w:rFonts w:ascii="宋体" w:hAnsi="宋体" w:eastAsia="宋体" w:cs="宋体"/>
          <w:kern w:val="2"/>
          <w:sz w:val="21"/>
          <w:szCs w:val="21"/>
        </w:rPr>
      </w:pP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根据（承包人名称，以下称“承包人”）与（发包人名称，以下简称“发包人”）于年月日签订的（项目名称）（标段名称）合同协议书，承包人按约定的金额向发包人提交一份预付款担保，即有权得到发包人支付相等金额的预付款。我方愿意就你方提供给承包人的预付款提供担保。</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1.担保金额人民币（大写）元（¥元）。</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2.担保有效期自预付款支付给承包人起生效，至发包人签发的进度付款证书说明预付款已完全扣清止。</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扣除的金额。</w:t>
      </w:r>
    </w:p>
    <w:p>
      <w:pPr>
        <w:pStyle w:val="67"/>
        <w:spacing w:line="44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4.发包人和承包人按《通用合同条款》第15条变更合同时，我方承担本担保规定的义务不变。</w:t>
      </w:r>
    </w:p>
    <w:p>
      <w:pPr>
        <w:pStyle w:val="67"/>
        <w:spacing w:line="440" w:lineRule="exact"/>
        <w:rPr>
          <w:rFonts w:ascii="宋体" w:hAnsi="宋体" w:eastAsia="宋体" w:cs="宋体"/>
          <w:kern w:val="2"/>
          <w:sz w:val="21"/>
          <w:szCs w:val="21"/>
        </w:rPr>
      </w:pPr>
    </w:p>
    <w:p>
      <w:pPr>
        <w:pStyle w:val="67"/>
        <w:spacing w:line="600" w:lineRule="exact"/>
        <w:ind w:firstLine="3599" w:firstLineChars="1714"/>
        <w:rPr>
          <w:rFonts w:ascii="宋体" w:hAnsi="宋体" w:eastAsia="宋体" w:cs="宋体"/>
          <w:kern w:val="2"/>
          <w:sz w:val="21"/>
          <w:szCs w:val="21"/>
        </w:rPr>
      </w:pPr>
      <w:r>
        <w:rPr>
          <w:rFonts w:hint="eastAsia" w:ascii="宋体" w:hAnsi="宋体" w:eastAsia="宋体" w:cs="宋体"/>
          <w:kern w:val="2"/>
          <w:sz w:val="21"/>
          <w:szCs w:val="21"/>
        </w:rPr>
        <w:t>担保人：（盖单位章）</w:t>
      </w:r>
    </w:p>
    <w:p>
      <w:pPr>
        <w:pStyle w:val="67"/>
        <w:spacing w:line="600" w:lineRule="exact"/>
        <w:ind w:firstLine="3599" w:firstLineChars="1714"/>
        <w:rPr>
          <w:rFonts w:ascii="宋体" w:hAnsi="宋体" w:eastAsia="宋体" w:cs="宋体"/>
          <w:kern w:val="2"/>
          <w:sz w:val="21"/>
          <w:szCs w:val="21"/>
        </w:rPr>
      </w:pPr>
      <w:r>
        <w:rPr>
          <w:rFonts w:hint="eastAsia" w:ascii="宋体" w:hAnsi="宋体" w:eastAsia="宋体" w:cs="宋体"/>
          <w:kern w:val="2"/>
          <w:sz w:val="21"/>
          <w:szCs w:val="21"/>
        </w:rPr>
        <w:t>法定代表人或其委托代理人：（签字）</w:t>
      </w:r>
    </w:p>
    <w:p>
      <w:pPr>
        <w:pStyle w:val="67"/>
        <w:spacing w:line="600" w:lineRule="exact"/>
        <w:ind w:firstLine="3599" w:firstLineChars="1714"/>
        <w:rPr>
          <w:rFonts w:ascii="宋体" w:hAnsi="宋体" w:eastAsia="宋体" w:cs="宋体"/>
          <w:kern w:val="2"/>
          <w:sz w:val="21"/>
          <w:szCs w:val="21"/>
        </w:rPr>
      </w:pPr>
      <w:r>
        <w:rPr>
          <w:rFonts w:hint="eastAsia" w:ascii="宋体" w:hAnsi="宋体" w:eastAsia="宋体" w:cs="宋体"/>
          <w:kern w:val="2"/>
          <w:sz w:val="21"/>
          <w:szCs w:val="21"/>
        </w:rPr>
        <w:t>地址：</w:t>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p>
    <w:p>
      <w:pPr>
        <w:pStyle w:val="67"/>
        <w:spacing w:line="600" w:lineRule="exact"/>
        <w:ind w:firstLine="3599" w:firstLineChars="1714"/>
        <w:rPr>
          <w:rFonts w:ascii="宋体" w:hAnsi="宋体" w:eastAsia="宋体" w:cs="宋体"/>
          <w:kern w:val="2"/>
          <w:sz w:val="21"/>
          <w:szCs w:val="21"/>
          <w:u w:val="single"/>
        </w:rPr>
      </w:pPr>
      <w:r>
        <w:rPr>
          <w:rFonts w:hint="eastAsia" w:ascii="宋体" w:hAnsi="宋体" w:eastAsia="宋体" w:cs="宋体"/>
          <w:kern w:val="2"/>
          <w:sz w:val="21"/>
          <w:szCs w:val="21"/>
        </w:rPr>
        <w:t>邮政编码：</w:t>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r>
        <w:rPr>
          <w:rFonts w:hint="eastAsia" w:ascii="宋体" w:hAnsi="宋体" w:eastAsia="宋体" w:cs="宋体"/>
          <w:kern w:val="2"/>
          <w:sz w:val="21"/>
          <w:szCs w:val="21"/>
          <w:u w:val="single"/>
        </w:rPr>
        <w:tab/>
      </w:r>
    </w:p>
    <w:p>
      <w:pPr>
        <w:pStyle w:val="67"/>
        <w:spacing w:line="600" w:lineRule="exact"/>
        <w:ind w:firstLine="3599" w:firstLineChars="1714"/>
        <w:rPr>
          <w:rFonts w:ascii="宋体" w:hAnsi="宋体" w:eastAsia="宋体" w:cs="宋体"/>
          <w:kern w:val="2"/>
          <w:sz w:val="21"/>
          <w:szCs w:val="21"/>
          <w:u w:val="single"/>
        </w:rPr>
      </w:pPr>
      <w:r>
        <w:rPr>
          <w:rFonts w:hint="eastAsia" w:ascii="宋体" w:hAnsi="宋体" w:eastAsia="宋体" w:cs="宋体"/>
          <w:kern w:val="2"/>
          <w:sz w:val="21"/>
          <w:szCs w:val="21"/>
        </w:rPr>
        <w:t>电话：</w:t>
      </w:r>
    </w:p>
    <w:p>
      <w:pPr>
        <w:pStyle w:val="67"/>
        <w:spacing w:line="600" w:lineRule="exact"/>
        <w:ind w:firstLine="3599" w:firstLineChars="1714"/>
        <w:rPr>
          <w:rFonts w:ascii="宋体" w:hAnsi="宋体" w:eastAsia="宋体" w:cs="宋体"/>
          <w:kern w:val="2"/>
          <w:sz w:val="21"/>
          <w:szCs w:val="21"/>
        </w:rPr>
      </w:pPr>
      <w:r>
        <w:rPr>
          <w:rFonts w:hint="eastAsia" w:ascii="宋体" w:hAnsi="宋体" w:eastAsia="宋体" w:cs="宋体"/>
          <w:kern w:val="2"/>
          <w:sz w:val="21"/>
          <w:szCs w:val="21"/>
        </w:rPr>
        <w:t>传真：</w:t>
      </w:r>
    </w:p>
    <w:p>
      <w:pPr>
        <w:pStyle w:val="67"/>
        <w:spacing w:line="600" w:lineRule="exact"/>
        <w:ind w:firstLine="4326" w:firstLineChars="2060"/>
        <w:rPr>
          <w:rFonts w:ascii="宋体" w:hAnsi="宋体" w:eastAsia="宋体" w:cs="宋体"/>
          <w:kern w:val="2"/>
          <w:sz w:val="21"/>
          <w:szCs w:val="21"/>
        </w:rPr>
      </w:pPr>
      <w:r>
        <w:rPr>
          <w:rFonts w:hint="eastAsia" w:ascii="宋体" w:hAnsi="宋体" w:eastAsia="宋体" w:cs="宋体"/>
          <w:kern w:val="2"/>
          <w:sz w:val="21"/>
          <w:szCs w:val="21"/>
        </w:rPr>
        <w:t>年月日</w:t>
      </w:r>
    </w:p>
    <w:p>
      <w:pPr>
        <w:pStyle w:val="67"/>
        <w:rPr>
          <w:kern w:val="2"/>
          <w:sz w:val="21"/>
        </w:rPr>
      </w:pPr>
    </w:p>
    <w:p>
      <w:pPr>
        <w:rPr>
          <w:color w:val="000080"/>
          <w:sz w:val="20"/>
          <w:highlight w:val="white"/>
        </w:rPr>
      </w:pPr>
      <w:r>
        <w:rPr>
          <w:rFonts w:hint="eastAsia"/>
          <w:color w:val="000080"/>
          <w:sz w:val="20"/>
          <w:highlight w:val="white"/>
        </w:rPr>
        <w:t xml:space="preserve"> </w:t>
      </w:r>
      <w:bookmarkEnd w:id="145"/>
    </w:p>
    <w:p>
      <w:pPr>
        <w:spacing w:line="400" w:lineRule="exact"/>
        <w:rPr>
          <w:color w:val="000000"/>
          <w:sz w:val="20"/>
          <w:szCs w:val="20"/>
        </w:rPr>
      </w:pPr>
      <w:r>
        <w:rPr>
          <w:color w:val="000000"/>
          <w:sz w:val="20"/>
          <w:szCs w:val="20"/>
          <w:highlight w:val="white"/>
        </w:rPr>
        <w:br w:type="page"/>
      </w:r>
    </w:p>
    <w:p>
      <w:pPr>
        <w:pStyle w:val="2"/>
        <w:numPr>
          <w:ilvl w:val="0"/>
          <w:numId w:val="7"/>
        </w:numPr>
        <w:spacing w:before="120" w:after="120" w:line="400" w:lineRule="exact"/>
        <w:jc w:val="center"/>
        <w:rPr>
          <w:rFonts w:hint="eastAsia" w:ascii="黑体" w:hAnsi="黑体" w:eastAsia="黑体"/>
          <w:bCs w:val="0"/>
          <w:color w:val="000000"/>
          <w:sz w:val="31"/>
          <w:szCs w:val="31"/>
          <w:highlight w:val="none"/>
        </w:rPr>
      </w:pPr>
      <w:bookmarkStart w:id="778" w:name="_Toc49870000"/>
      <w:bookmarkStart w:id="779" w:name="_Toc256000042"/>
      <w:r>
        <w:rPr>
          <w:rFonts w:hint="eastAsia" w:ascii="黑体" w:hAnsi="黑体" w:eastAsia="黑体"/>
          <w:bCs w:val="0"/>
          <w:color w:val="000000"/>
          <w:sz w:val="31"/>
          <w:szCs w:val="31"/>
          <w:highlight w:val="none"/>
        </w:rPr>
        <w:t xml:space="preserve"> 工程量清单</w:t>
      </w:r>
      <w:bookmarkEnd w:id="778"/>
      <w:bookmarkEnd w:id="779"/>
    </w:p>
    <w:p>
      <w:pPr>
        <w:rPr>
          <w:rFonts w:hint="eastAsia"/>
          <w:highlight w:val="none"/>
        </w:rPr>
      </w:pPr>
      <w:bookmarkStart w:id="780" w:name="_Toc49870005"/>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具体要求详见电子版招标清单文件</w:t>
      </w:r>
    </w:p>
    <w:p>
      <w:pPr>
        <w:rPr>
          <w:rFonts w:hint="eastAsia"/>
          <w:highlight w:val="none"/>
        </w:rPr>
      </w:pPr>
    </w:p>
    <w:p>
      <w:pPr>
        <w:rPr>
          <w:rFonts w:hint="eastAsia"/>
          <w:highlight w:val="none"/>
        </w:rPr>
      </w:pPr>
    </w:p>
    <w:p/>
    <w:p/>
    <w:p/>
    <w:p/>
    <w:p/>
    <w:p/>
    <w:p/>
    <w:p/>
    <w:p/>
    <w:p/>
    <w:p/>
    <w:p/>
    <w:p/>
    <w:p/>
    <w:p/>
    <w:p/>
    <w:p/>
    <w:p/>
    <w:p/>
    <w:p/>
    <w:p/>
    <w:p/>
    <w:p/>
    <w:p/>
    <w:p/>
    <w:p/>
    <w:p/>
    <w:p/>
    <w:p/>
    <w:p/>
    <w:p/>
    <w:p/>
    <w:p/>
    <w:p/>
    <w:p/>
    <w:p/>
    <w:p/>
    <w:p>
      <w:pPr>
        <w:pStyle w:val="2"/>
        <w:spacing w:before="120" w:after="120" w:line="400" w:lineRule="exact"/>
        <w:jc w:val="center"/>
        <w:rPr>
          <w:rFonts w:ascii="宋体" w:hAnsi="宋体"/>
          <w:bCs w:val="0"/>
          <w:color w:val="000000"/>
          <w:sz w:val="51"/>
          <w:szCs w:val="31"/>
        </w:rPr>
      </w:pPr>
      <w:bookmarkStart w:id="781" w:name="_Toc256000043"/>
      <w:r>
        <w:rPr>
          <w:rFonts w:hint="eastAsia" w:ascii="宋体" w:hAnsi="宋体"/>
          <w:bCs w:val="0"/>
          <w:color w:val="000000"/>
          <w:sz w:val="51"/>
          <w:szCs w:val="31"/>
          <w:highlight w:val="white"/>
        </w:rPr>
        <w:t>第 二 卷</w:t>
      </w:r>
      <w:bookmarkEnd w:id="780"/>
      <w:bookmarkEnd w:id="781"/>
      <w:r>
        <w:rPr>
          <w:rFonts w:hint="eastAsia" w:ascii="宋体" w:hAnsi="宋体"/>
          <w:bCs w:val="0"/>
          <w:color w:val="000000"/>
          <w:sz w:val="51"/>
          <w:szCs w:val="31"/>
          <w:highlight w:val="white"/>
        </w:rPr>
        <w:t xml:space="preserve">  </w:t>
      </w: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宋体" w:hAnsi="宋体"/>
          <w:b/>
          <w:color w:val="000000"/>
          <w:sz w:val="27"/>
          <w:szCs w:val="27"/>
        </w:rPr>
      </w:pPr>
      <w:r>
        <w:rPr>
          <w:rFonts w:ascii="宋体" w:hAnsi="宋体"/>
          <w:b/>
          <w:color w:val="000000"/>
          <w:sz w:val="27"/>
          <w:szCs w:val="27"/>
          <w:highlight w:val="white"/>
        </w:rPr>
        <w:br w:type="page"/>
      </w:r>
    </w:p>
    <w:p>
      <w:pPr>
        <w:pStyle w:val="2"/>
        <w:spacing w:before="120" w:after="120" w:line="400" w:lineRule="exact"/>
        <w:jc w:val="center"/>
        <w:rPr>
          <w:rFonts w:ascii="黑体" w:hAnsi="黑体" w:eastAsia="黑体"/>
          <w:bCs w:val="0"/>
          <w:color w:val="000000"/>
          <w:sz w:val="31"/>
          <w:szCs w:val="31"/>
        </w:rPr>
      </w:pPr>
      <w:bookmarkStart w:id="782" w:name="_Toc256000044"/>
      <w:bookmarkStart w:id="783" w:name="_Toc49870008"/>
      <w:r>
        <w:rPr>
          <w:rFonts w:hint="eastAsia" w:ascii="黑体" w:hAnsi="黑体" w:eastAsia="黑体"/>
          <w:bCs w:val="0"/>
          <w:color w:val="000000"/>
          <w:sz w:val="31"/>
          <w:szCs w:val="31"/>
          <w:highlight w:val="white"/>
        </w:rPr>
        <w:t>第六章 技术标准和要求（合同技术条款）</w:t>
      </w:r>
      <w:bookmarkEnd w:id="782"/>
      <w:bookmarkEnd w:id="783"/>
    </w:p>
    <w:p>
      <w:pPr>
        <w:rPr>
          <w:highlight w:val="red"/>
        </w:rPr>
      </w:pPr>
      <w:bookmarkStart w:id="784" w:name="EB741dc3570c8c4efc9387f2fccdd1d59e"/>
    </w:p>
    <w:p>
      <w:pPr>
        <w:spacing w:line="420" w:lineRule="exact"/>
        <w:jc w:val="center"/>
        <w:outlineLvl w:val="0"/>
        <w:rPr>
          <w:rFonts w:hint="default" w:ascii="宋体" w:hAnsi="宋体" w:eastAsia="宋体" w:cs="Times New Roman"/>
          <w:b/>
          <w:sz w:val="28"/>
          <w:szCs w:val="28"/>
          <w:highlight w:val="none"/>
          <w:lang w:val="en-US" w:eastAsia="zh-CN"/>
        </w:rPr>
      </w:pPr>
      <w:bookmarkStart w:id="785" w:name="_Toc398349620"/>
      <w:bookmarkStart w:id="786" w:name="_Toc376159615"/>
      <w:bookmarkStart w:id="787" w:name="_Toc376160614"/>
      <w:r>
        <w:rPr>
          <w:rFonts w:hint="eastAsia" w:ascii="宋体" w:hAnsi="宋体" w:eastAsia="宋体" w:cs="Times New Roman"/>
          <w:b/>
          <w:sz w:val="28"/>
          <w:szCs w:val="28"/>
          <w:highlight w:val="none"/>
          <w:lang w:val="en-US" w:eastAsia="zh-CN"/>
        </w:rPr>
        <w:t>1.一般规定</w:t>
      </w:r>
    </w:p>
    <w:bookmarkEnd w:id="785"/>
    <w:bookmarkEnd w:id="786"/>
    <w:bookmarkEnd w:id="787"/>
    <w:p>
      <w:pPr>
        <w:spacing w:line="360" w:lineRule="auto"/>
        <w:rPr>
          <w:rFonts w:hint="eastAsia" w:ascii="宋体" w:hAnsi="宋体" w:cs="宋体"/>
          <w:b/>
          <w:szCs w:val="21"/>
          <w:highlight w:val="none"/>
        </w:rPr>
      </w:pPr>
      <w:r>
        <w:rPr>
          <w:rFonts w:hint="eastAsia" w:ascii="宋体" w:hAnsi="宋体" w:cs="宋体"/>
          <w:b/>
          <w:szCs w:val="21"/>
          <w:highlight w:val="none"/>
        </w:rPr>
        <w:t>1.1工程说明</w:t>
      </w:r>
    </w:p>
    <w:p>
      <w:pPr>
        <w:spacing w:line="440" w:lineRule="exact"/>
        <w:rPr>
          <w:rFonts w:hint="eastAsia" w:ascii="宋体" w:hAnsi="宋体" w:cs="宋体"/>
          <w:szCs w:val="21"/>
          <w:highlight w:val="none"/>
          <w:lang w:val="zh-CN"/>
        </w:rPr>
      </w:pPr>
      <w:bookmarkStart w:id="788" w:name="_Toc511564523"/>
      <w:bookmarkStart w:id="789" w:name="_Toc517383234"/>
      <w:r>
        <w:rPr>
          <w:rFonts w:hint="eastAsia" w:ascii="宋体" w:hAnsi="宋体" w:cs="宋体"/>
          <w:szCs w:val="21"/>
          <w:highlight w:val="none"/>
          <w:lang w:val="zh-CN"/>
        </w:rPr>
        <w:t>1.1.1工程概况</w:t>
      </w:r>
      <w:bookmarkEnd w:id="788"/>
      <w:bookmarkEnd w:id="789"/>
    </w:p>
    <w:p>
      <w:pPr>
        <w:spacing w:line="44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eastAsia="zh-CN"/>
        </w:rPr>
        <w:t>大石桥市2024年第一批中央水库移民后期扶持资金项目</w:t>
      </w:r>
      <w:r>
        <w:rPr>
          <w:rFonts w:hint="eastAsia" w:ascii="宋体" w:hAnsi="宋体" w:eastAsia="宋体" w:cs="宋体"/>
          <w:szCs w:val="21"/>
          <w:lang w:val="zh-CN"/>
        </w:rPr>
        <w:t>（水利类工程）项目区</w:t>
      </w:r>
      <w:r>
        <w:rPr>
          <w:rFonts w:hint="eastAsia" w:ascii="宋体" w:hAnsi="宋体" w:eastAsia="宋体" w:cs="宋体"/>
          <w:szCs w:val="21"/>
          <w:lang w:val="zh-CN" w:eastAsia="zh-CN"/>
        </w:rPr>
        <w:t>大石桥市官屯镇石硼峪村、何屯村，周家镇大沟村、车家村，汤池镇高士沟村，黄土岭镇黄土岭村</w:t>
      </w:r>
      <w:r>
        <w:rPr>
          <w:rFonts w:hint="eastAsia" w:ascii="宋体" w:hAnsi="宋体" w:eastAsia="宋体" w:cs="宋体"/>
          <w:szCs w:val="21"/>
          <w:lang w:val="zh-CN"/>
        </w:rPr>
        <w:t>。</w:t>
      </w:r>
    </w:p>
    <w:p>
      <w:pPr>
        <w:spacing w:line="44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项目建设内容：1.</w:t>
      </w:r>
      <w:r>
        <w:rPr>
          <w:rFonts w:hint="eastAsia" w:ascii="宋体" w:hAnsi="宋体" w:eastAsia="宋体" w:cs="宋体"/>
          <w:szCs w:val="21"/>
          <w:lang w:val="zh-CN" w:eastAsia="zh-CN"/>
        </w:rPr>
        <w:t>官屯镇石硼峪村沟道浆砌石挡墙护坡</w:t>
      </w:r>
      <w:r>
        <w:rPr>
          <w:rFonts w:hint="eastAsia" w:ascii="宋体" w:hAnsi="宋体" w:eastAsia="宋体" w:cs="宋体"/>
          <w:szCs w:val="21"/>
          <w:lang w:val="en-US" w:eastAsia="zh-CN"/>
        </w:rPr>
        <w:t>480m</w:t>
      </w:r>
      <w:r>
        <w:rPr>
          <w:rFonts w:hint="eastAsia" w:ascii="宋体" w:hAnsi="宋体" w:eastAsia="宋体" w:cs="宋体"/>
          <w:szCs w:val="21"/>
          <w:lang w:val="zh-CN"/>
        </w:rPr>
        <w:t>。</w:t>
      </w:r>
    </w:p>
    <w:p>
      <w:pPr>
        <w:spacing w:line="44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2.</w:t>
      </w:r>
      <w:r>
        <w:rPr>
          <w:rFonts w:hint="eastAsia" w:ascii="宋体" w:hAnsi="宋体" w:eastAsia="宋体" w:cs="宋体"/>
          <w:szCs w:val="21"/>
          <w:lang w:val="zh-CN" w:eastAsia="zh-CN"/>
        </w:rPr>
        <w:t>官屯镇何屯村河道浆砌石挡墙护坡</w:t>
      </w:r>
      <w:r>
        <w:rPr>
          <w:rFonts w:hint="eastAsia" w:ascii="宋体" w:hAnsi="宋体" w:eastAsia="宋体" w:cs="宋体"/>
          <w:szCs w:val="21"/>
          <w:lang w:val="en-US" w:eastAsia="zh-CN"/>
        </w:rPr>
        <w:t>715m</w:t>
      </w:r>
      <w:r>
        <w:rPr>
          <w:rFonts w:hint="eastAsia" w:ascii="宋体" w:hAnsi="宋体" w:eastAsia="宋体" w:cs="宋体"/>
          <w:szCs w:val="21"/>
          <w:lang w:val="zh-CN"/>
        </w:rPr>
        <w:t>。</w:t>
      </w:r>
    </w:p>
    <w:p>
      <w:pPr>
        <w:spacing w:line="44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3.</w:t>
      </w:r>
      <w:r>
        <w:rPr>
          <w:rFonts w:hint="eastAsia" w:ascii="宋体" w:hAnsi="宋体" w:eastAsia="宋体" w:cs="宋体"/>
          <w:szCs w:val="21"/>
          <w:lang w:val="zh-CN" w:eastAsia="zh-CN"/>
        </w:rPr>
        <w:t>周家镇大沟村河道浆砌石挡墙护坡</w:t>
      </w:r>
      <w:r>
        <w:rPr>
          <w:rFonts w:hint="eastAsia" w:ascii="宋体" w:hAnsi="宋体" w:eastAsia="宋体" w:cs="宋体"/>
          <w:szCs w:val="21"/>
          <w:lang w:val="en-US" w:eastAsia="zh-CN"/>
        </w:rPr>
        <w:t>200m</w:t>
      </w:r>
      <w:r>
        <w:rPr>
          <w:rFonts w:hint="eastAsia" w:ascii="宋体" w:hAnsi="宋体" w:eastAsia="宋体" w:cs="宋体"/>
          <w:szCs w:val="21"/>
          <w:lang w:val="zh-CN"/>
        </w:rPr>
        <w:t>。</w:t>
      </w:r>
    </w:p>
    <w:p>
      <w:pPr>
        <w:spacing w:line="440" w:lineRule="exact"/>
        <w:ind w:firstLine="1890" w:firstLineChars="900"/>
        <w:rPr>
          <w:rFonts w:hint="eastAsia" w:ascii="宋体" w:hAnsi="宋体" w:eastAsia="宋体" w:cs="宋体"/>
          <w:szCs w:val="21"/>
          <w:lang w:val="zh-CN"/>
        </w:rPr>
      </w:pPr>
      <w:r>
        <w:rPr>
          <w:rFonts w:hint="eastAsia" w:ascii="宋体" w:hAnsi="宋体" w:eastAsia="宋体" w:cs="宋体"/>
          <w:szCs w:val="21"/>
          <w:lang w:val="zh-CN"/>
        </w:rPr>
        <w:t>4.</w:t>
      </w:r>
      <w:r>
        <w:rPr>
          <w:rFonts w:hint="eastAsia" w:ascii="宋体" w:hAnsi="宋体" w:eastAsia="宋体" w:cs="宋体"/>
          <w:szCs w:val="21"/>
          <w:lang w:val="zh-CN" w:eastAsia="zh-CN"/>
        </w:rPr>
        <w:t>周家镇车家村浆砌石路边沟</w:t>
      </w:r>
      <w:r>
        <w:rPr>
          <w:rFonts w:hint="eastAsia" w:ascii="宋体" w:hAnsi="宋体" w:eastAsia="宋体" w:cs="宋体"/>
          <w:szCs w:val="21"/>
          <w:lang w:val="en-US" w:eastAsia="zh-CN"/>
        </w:rPr>
        <w:t>425m，∮600过路涵11座</w:t>
      </w:r>
      <w:r>
        <w:rPr>
          <w:rFonts w:hint="eastAsia" w:ascii="宋体" w:hAnsi="宋体" w:eastAsia="宋体" w:cs="宋体"/>
          <w:szCs w:val="21"/>
          <w:lang w:val="zh-CN"/>
        </w:rPr>
        <w:t>。</w:t>
      </w:r>
    </w:p>
    <w:p>
      <w:pPr>
        <w:spacing w:line="440" w:lineRule="exact"/>
        <w:ind w:firstLine="1890" w:firstLineChars="900"/>
        <w:rPr>
          <w:rFonts w:hint="default"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eastAsia="宋体" w:cs="宋体"/>
          <w:szCs w:val="21"/>
          <w:lang w:val="zh-CN" w:eastAsia="zh-CN"/>
        </w:rPr>
        <w:t>汤池镇高士沟村河道浆砌石挡墙护坡</w:t>
      </w:r>
      <w:r>
        <w:rPr>
          <w:rFonts w:hint="eastAsia" w:ascii="宋体" w:hAnsi="宋体" w:eastAsia="宋体" w:cs="宋体"/>
          <w:szCs w:val="21"/>
          <w:lang w:val="en-US" w:eastAsia="zh-CN"/>
        </w:rPr>
        <w:t>1100m。</w:t>
      </w:r>
    </w:p>
    <w:p>
      <w:pPr>
        <w:spacing w:line="440" w:lineRule="exact"/>
        <w:ind w:firstLine="1890" w:firstLineChars="900"/>
        <w:rPr>
          <w:rFonts w:hint="eastAsia" w:ascii="宋体" w:hAnsi="宋体" w:eastAsia="宋体" w:cs="宋体"/>
          <w:szCs w:val="21"/>
          <w:lang w:val="en-US" w:eastAsia="zh-CN"/>
        </w:rPr>
      </w:pPr>
      <w:r>
        <w:rPr>
          <w:rFonts w:hint="eastAsia" w:ascii="宋体" w:hAnsi="宋体" w:eastAsia="宋体" w:cs="宋体"/>
          <w:szCs w:val="21"/>
          <w:lang w:val="en-US" w:eastAsia="zh-CN"/>
        </w:rPr>
        <w:t>6.</w:t>
      </w:r>
      <w:r>
        <w:rPr>
          <w:rFonts w:hint="eastAsia" w:ascii="宋体" w:hAnsi="宋体" w:eastAsia="宋体" w:cs="宋体"/>
          <w:szCs w:val="21"/>
          <w:lang w:val="zh-CN" w:eastAsia="zh-CN"/>
        </w:rPr>
        <w:t>黄土岭镇黄土岭村吕王河拦河截潜</w:t>
      </w:r>
      <w:r>
        <w:rPr>
          <w:rFonts w:hint="eastAsia" w:ascii="宋体" w:hAnsi="宋体" w:eastAsia="宋体" w:cs="宋体"/>
          <w:szCs w:val="21"/>
          <w:lang w:val="en-US" w:eastAsia="zh-CN"/>
        </w:rPr>
        <w:t>1座。</w:t>
      </w:r>
    </w:p>
    <w:p>
      <w:pPr>
        <w:spacing w:line="440" w:lineRule="exact"/>
        <w:rPr>
          <w:rFonts w:hint="eastAsia" w:ascii="宋体" w:hAnsi="宋体" w:eastAsia="宋体" w:cs="宋体"/>
          <w:szCs w:val="21"/>
        </w:rPr>
      </w:pPr>
      <w:r>
        <w:rPr>
          <w:rFonts w:hint="eastAsia" w:ascii="宋体" w:hAnsi="宋体" w:eastAsia="宋体" w:cs="宋体"/>
          <w:szCs w:val="21"/>
          <w:lang w:val="zh-CN"/>
        </w:rPr>
        <w:t>1.1.2</w:t>
      </w:r>
      <w:r>
        <w:rPr>
          <w:rFonts w:hint="eastAsia" w:ascii="宋体" w:hAnsi="宋体" w:eastAsia="宋体" w:cs="宋体"/>
          <w:szCs w:val="21"/>
        </w:rPr>
        <w:t>施工建设条件</w:t>
      </w:r>
    </w:p>
    <w:p>
      <w:pPr>
        <w:spacing w:line="440" w:lineRule="exact"/>
        <w:ind w:firstLine="420" w:firstLineChars="200"/>
        <w:rPr>
          <w:rFonts w:hint="eastAsia" w:ascii="宋体" w:hAnsi="宋体" w:eastAsia="宋体" w:cs="宋体"/>
          <w:szCs w:val="21"/>
        </w:rPr>
      </w:pPr>
      <w:bookmarkStart w:id="790" w:name="_Toc393697821"/>
      <w:bookmarkStart w:id="791" w:name="_Toc428113449"/>
      <w:bookmarkStart w:id="792" w:name="_Toc365362629"/>
      <w:bookmarkStart w:id="793" w:name="_Toc365279763"/>
      <w:bookmarkStart w:id="794" w:name="_Toc357854523"/>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rPr>
        <w:t xml:space="preserve"> 交通、用电</w:t>
      </w:r>
      <w:bookmarkEnd w:id="790"/>
      <w:bookmarkEnd w:id="791"/>
      <w:bookmarkEnd w:id="792"/>
      <w:bookmarkEnd w:id="793"/>
      <w:bookmarkEnd w:id="794"/>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项目区交通方便，S312省道、岫水线</w:t>
      </w:r>
      <w:r>
        <w:rPr>
          <w:rFonts w:hint="eastAsia" w:ascii="宋体" w:hAnsi="宋体" w:eastAsia="宋体" w:cs="宋体"/>
          <w:szCs w:val="21"/>
          <w:lang w:eastAsia="zh-CN"/>
        </w:rPr>
        <w:t>等</w:t>
      </w:r>
      <w:r>
        <w:rPr>
          <w:rFonts w:hint="eastAsia" w:ascii="宋体" w:hAnsi="宋体" w:eastAsia="宋体" w:cs="宋体"/>
          <w:szCs w:val="21"/>
        </w:rPr>
        <w:t>通过项目区，交通十分便利。施工用电本着就近就便及配合发电机的原则，解决施工用电问题。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材料</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工程所需钢筋、木材、水泥均由营口市、大石桥市购进，块石、粗骨料由大石桥市购进。工程砌筑块石饱和抗压强度不低于30MPa（MU30），最小粒径不小于200mm。绿滨垫填充的石料应具有耐久性好、不易碎、无风化迹象的块石。</w:t>
      </w:r>
    </w:p>
    <w:p>
      <w:pPr>
        <w:spacing w:line="440" w:lineRule="exact"/>
        <w:ind w:firstLine="420" w:firstLineChars="200"/>
        <w:rPr>
          <w:rFonts w:hint="eastAsia" w:ascii="宋体" w:hAnsi="宋体" w:eastAsia="宋体" w:cs="宋体"/>
          <w:szCs w:val="21"/>
        </w:rPr>
      </w:pPr>
      <w:bookmarkStart w:id="795" w:name="_Toc357854524"/>
      <w:bookmarkStart w:id="796" w:name="_Toc365279764"/>
      <w:bookmarkStart w:id="797" w:name="_Toc365362630"/>
      <w:bookmarkStart w:id="798" w:name="_Toc428113450"/>
      <w:bookmarkStart w:id="799" w:name="_Toc393697822"/>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rPr>
        <w:t xml:space="preserve"> </w:t>
      </w:r>
      <w:bookmarkEnd w:id="795"/>
      <w:bookmarkEnd w:id="796"/>
      <w:bookmarkEnd w:id="797"/>
      <w:bookmarkEnd w:id="798"/>
      <w:bookmarkEnd w:id="799"/>
      <w:r>
        <w:rPr>
          <w:rFonts w:hint="eastAsia" w:ascii="宋体" w:hAnsi="宋体" w:eastAsia="宋体" w:cs="宋体"/>
          <w:szCs w:val="21"/>
        </w:rPr>
        <w:t>地形、地貌及土壤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按地形地貌和地域特点及地质条件，项目区为大石桥市中、东、西部。西部为滨海平原，地处大辽河最下游，地势平坦开阔，一望无际，土质肥沃，地面高差小，土壤质地分布均匀，表土以粘性土为主，地表1.5m以下为粉质粘土；</w:t>
      </w:r>
      <w:r>
        <w:rPr>
          <w:rFonts w:hint="eastAsia" w:ascii="宋体" w:hAnsi="宋体" w:eastAsia="宋体" w:cs="宋体"/>
          <w:szCs w:val="21"/>
          <w:lang w:eastAsia="zh-CN"/>
        </w:rPr>
        <w:t>中部为丘陵，属构造剥蚀和剥蚀堆积丘陵，其间有宽阔的谷地，堆积着较厚的河流沉积物构成较开阔的山间平原，土壤以棕壤土为主</w:t>
      </w:r>
      <w:r>
        <w:rPr>
          <w:rFonts w:hint="eastAsia" w:ascii="宋体" w:hAnsi="宋体" w:eastAsia="宋体" w:cs="宋体"/>
          <w:szCs w:val="21"/>
        </w:rPr>
        <w:t>；东部为山区，系千山山系余脉，属侵蚀构造中低山地形，山地为主，平地较少，山高坡陡，山势峻峭，谷地狭窄，该区土层薄，山区特产丰富。</w:t>
      </w:r>
    </w:p>
    <w:p>
      <w:pPr>
        <w:spacing w:line="440" w:lineRule="exact"/>
        <w:ind w:firstLine="420" w:firstLineChars="200"/>
        <w:rPr>
          <w:rFonts w:hint="eastAsia" w:ascii="宋体" w:hAnsi="宋体" w:eastAsia="宋体" w:cs="宋体"/>
          <w:szCs w:val="21"/>
        </w:rPr>
      </w:pPr>
      <w:bookmarkStart w:id="800" w:name="_Toc24725798"/>
      <w:bookmarkStart w:id="801" w:name="_Toc1549"/>
      <w:r>
        <w:rPr>
          <w:rFonts w:hint="eastAsia" w:ascii="宋体" w:hAnsi="宋体" w:eastAsia="宋体" w:cs="宋体"/>
          <w:szCs w:val="21"/>
          <w:lang w:val="en-US" w:eastAsia="zh-CN"/>
        </w:rPr>
        <w:t xml:space="preserve">1.2 </w:t>
      </w:r>
      <w:r>
        <w:rPr>
          <w:rFonts w:hint="eastAsia" w:ascii="宋体" w:hAnsi="宋体" w:eastAsia="宋体" w:cs="宋体"/>
          <w:szCs w:val="21"/>
        </w:rPr>
        <w:t>施工方法</w:t>
      </w:r>
      <w:bookmarkEnd w:id="800"/>
      <w:bookmarkEnd w:id="801"/>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.1土方开挖及回填土施工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土方开挖：施工前按施工详图对最大开挖边界进行放线，土方开挖应在开挖线内进行，土方开挖采用1m3挖掘机挖土，施工详图基础高程以上预留保护层，保护层由人工清理。弃土就近堆放在对施工现场无干扰地点以便回填。</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土方回填：回填土料采用原开挖土料，填料分层回填，严格控制铺土厚度及土料的含水率，建筑物回填土方2.0m以内采用人工回填夯实，2.0m以外采用7.5马力推土机压实，相邻的两个轮迹至少要重迭50cm。</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2钢筋砼工程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水工钢筋砼结构按《水工钢筋砼施工与验收规范》施工，钢筋采用HPB300、HRB400，商品混凝土等级为C20、C30，抗渗等级W</w:t>
      </w:r>
      <w:r>
        <w:rPr>
          <w:rFonts w:hint="eastAsia" w:ascii="宋体" w:hAnsi="宋体" w:eastAsia="宋体" w:cs="宋体"/>
          <w:szCs w:val="21"/>
          <w:lang w:val="en-US" w:eastAsia="zh-CN"/>
        </w:rPr>
        <w:t>6</w:t>
      </w:r>
      <w:r>
        <w:rPr>
          <w:rFonts w:hint="eastAsia" w:ascii="宋体" w:hAnsi="宋体" w:eastAsia="宋体" w:cs="宋体"/>
          <w:szCs w:val="21"/>
        </w:rPr>
        <w:t>，抗冻等级F200。混凝土的运输采用机动翻斗车运输，混凝土浇筑采用平铺法施工。混凝土浇筑完毕后12～18小时内进行洒水养护，养护时间不少于14天。在干燥、炎热气候条件下，养护时间不少于28天。</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(1)模板制作、安装及拆除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模板的制作采用木模板，立模前应按砼结构施工详图进行施工放样，以形成准确的形状尺寸和位置。模板应有足够的强度，能承受混凝土浇筑和振捣时产生的荷载，并能牢固地维持原样，不移位，不变形，模板表面应平整、光洁、接缝，严密不漏浆，以保证混凝土的浇筑质量，当砼强度达到2.5Mpa以上并能够保证其表面及棱角不因拆模而损坏时，才能拆除。</w:t>
      </w:r>
    </w:p>
    <w:p>
      <w:pPr>
        <w:spacing w:line="440" w:lineRule="exact"/>
        <w:ind w:firstLine="420" w:firstLineChars="200"/>
        <w:rPr>
          <w:rFonts w:hint="eastAsia" w:ascii="宋体" w:hAnsi="宋体" w:eastAsia="宋体" w:cs="宋体"/>
          <w:szCs w:val="21"/>
        </w:rPr>
      </w:pPr>
      <w:bookmarkStart w:id="802" w:name="_Toc359063724"/>
      <w:bookmarkStart w:id="803" w:name="_Toc358188863"/>
      <w:bookmarkStart w:id="804" w:name="_Toc385513758"/>
      <w:bookmarkStart w:id="805" w:name="_Toc343505903"/>
      <w:bookmarkStart w:id="806" w:name="_Toc359063600"/>
      <w:r>
        <w:rPr>
          <w:rFonts w:hint="eastAsia" w:ascii="宋体" w:hAnsi="宋体" w:eastAsia="宋体" w:cs="宋体"/>
          <w:szCs w:val="21"/>
        </w:rPr>
        <w:t>(2)钢筋制作安装</w:t>
      </w:r>
      <w:bookmarkEnd w:id="802"/>
      <w:bookmarkEnd w:id="803"/>
      <w:bookmarkEnd w:id="804"/>
      <w:bookmarkEnd w:id="805"/>
      <w:bookmarkEnd w:id="80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钢筋选用附合设计和规范要求的钢筋按照施工详图进行切割，弯折和制作后作上标牌堆放。为防止生锈不与地面接触，应放在枕木上，钢筋的加工制作，允许偏差不得超过允许值。钢筋安装位置、间距、绑扎、保护层及各部分钢筋的尺寸均应符合施工详图的规定。在已经架设好的钢筋中，不应再沾有泥土，有害的铁锈、松散的铁屑、油漆、油脂或其它有害的物质，现场焊接或绑扎的钢筋网，其钢筋交叉的连接，应按施工详图规定执行。</w:t>
      </w:r>
    </w:p>
    <w:p>
      <w:pPr>
        <w:spacing w:line="440" w:lineRule="exact"/>
        <w:ind w:firstLine="420" w:firstLineChars="200"/>
        <w:rPr>
          <w:rFonts w:hint="eastAsia" w:ascii="宋体" w:hAnsi="宋体" w:eastAsia="宋体" w:cs="宋体"/>
          <w:szCs w:val="21"/>
        </w:rPr>
      </w:pPr>
      <w:bookmarkStart w:id="807" w:name="_Toc24725799"/>
      <w:r>
        <w:rPr>
          <w:rFonts w:hint="eastAsia" w:ascii="宋体" w:hAnsi="宋体" w:eastAsia="宋体" w:cs="宋体"/>
          <w:szCs w:val="21"/>
          <w:lang w:val="en-US" w:eastAsia="zh-CN"/>
        </w:rPr>
        <w:t>1.2</w:t>
      </w:r>
      <w:r>
        <w:rPr>
          <w:rFonts w:hint="eastAsia" w:ascii="宋体" w:hAnsi="宋体" w:eastAsia="宋体" w:cs="宋体"/>
          <w:szCs w:val="21"/>
        </w:rPr>
        <w:t>.3砌石工程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（1）浆砌石</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在砌石工程施工之前，应每隔3m钉桩拉线把基础整修到所需要的坡度及剖面，以保证工程有规整的边线及均匀一致的坡度。坑洼之处应予回填并彻底夯实，满足设计承载力的要求。块石采用坚硬，无风化且规整，石料的最小厚度不小于20厘米，采用抗压强度大于等于30Mpa的块石，砂浆标号采用M10。</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砌筑前按设计尺寸在分缝处安装沥清木板，测量高程，挂线作为砌石控制平面，底层应采取座浆砌，先在底部铺一层5~10厘米厚的砂浆，砂浆稠度要完全按照设计要求拌制，稠度过小砂浆渗入综合反滤料内，失去坐浆砌筑意义，影响砌筑质量。铺石时保证块石的大面朝下，使石块坐稳后再砌上层，每层要上下错缝，内外搭砌，缝隙间砂浆要饱满，砂浆饱合度大于75%，石块间较大的缝隙先填塞砂浆后再用碎石块嵌实，每层之间要放拉结石，一次性的砌筑石不应超过规范所规定的高度，裸露石缝采用1:3水泥砂浆人工勾缝</w:t>
      </w:r>
      <w:bookmarkEnd w:id="807"/>
      <w:r>
        <w:rPr>
          <w:rFonts w:hint="eastAsia" w:ascii="宋体" w:hAnsi="宋体" w:eastAsia="宋体" w:cs="宋体"/>
          <w:szCs w:val="21"/>
        </w:rPr>
        <w:t>，M15水泥砂浆压顶30mm厚。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（2）干砌石</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干砌石使用材料应符合设计要求，干砌石护坡遵循先护脚、再护坡、最后封顶的原则，坡面上干砌石砌筑以一层与一层错缝锁结的方式铺筑，岸坡表面砌缝宽度不应大于25mm，砌石边缘应顺直，整齐牢固，严禁出现通缝、叠砌和浮塞。不得外漏面使用块石砌筑，而中间以小石填心。在砌石工程施工之前，应每隔3m钉桩拉线把基础整修到所需要的坡度及剖面，以保证工程有规整的边线及均匀一致的坡度。坑洼之处应予回填并彻底夯实，满足设计承载力的要求。块石采用坚硬，无风化且规整，块石采用≮MU30，最小块径不小于20厘米。方塘边坡采用干砌石护坡。干砌石下设200mm综合反滤层及土工布SNG/C-PET-15-6，土工布铺设应平整无褶皱，铺设前剔除底层树根、棱角块石以免挫漏土工布。</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.4绿滨垫工程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绿滨垫在施工时，要求间隔网与网身应成90°相交才可绑扎，每一道绑扎应使用扎丝双股线并绞紧。间隔网与网身四处交角各绑扎一道，交接处每隔200~250mm处绑扎一道。河床铺设时，绿滨垫隔片应垂直于水流方向；岸坡铺设时隔片应平行于水流方向；陡坡铺设时，应在距顶部网片以下2m处或按工程要求打入硬木桩固定。施工封盖时，面层石料应砌垒整平，封盖网与网身、间隔网间相交边框线，每间隔200~250mm绑扎一道，其它未尽事宜参照《生态格网结构技术规程》。</w:t>
      </w:r>
    </w:p>
    <w:p>
      <w:pPr>
        <w:spacing w:line="440" w:lineRule="exact"/>
        <w:ind w:firstLine="420" w:firstLineChars="200"/>
        <w:rPr>
          <w:rFonts w:hint="eastAsia" w:ascii="宋体" w:hAnsi="宋体" w:cs="宋体"/>
          <w:szCs w:val="21"/>
          <w:highlight w:val="yellow"/>
          <w:lang w:val="zh-CN"/>
        </w:rPr>
      </w:pPr>
      <w:r>
        <w:rPr>
          <w:rFonts w:hint="eastAsia" w:ascii="宋体" w:hAnsi="宋体" w:eastAsia="宋体" w:cs="宋体"/>
          <w:szCs w:val="21"/>
        </w:rPr>
        <w:t>土工</w:t>
      </w:r>
      <w:r>
        <w:rPr>
          <w:rFonts w:hint="eastAsia" w:ascii="宋体" w:hAnsi="宋体" w:eastAsia="宋体" w:cs="宋体"/>
          <w:szCs w:val="21"/>
          <w:lang w:eastAsia="zh-CN"/>
        </w:rPr>
        <w:t>膜及土工布</w:t>
      </w:r>
      <w:r>
        <w:rPr>
          <w:rFonts w:hint="eastAsia" w:ascii="宋体" w:hAnsi="宋体" w:eastAsia="宋体" w:cs="宋体"/>
          <w:szCs w:val="21"/>
        </w:rPr>
        <w:t>铺设：土工</w:t>
      </w:r>
      <w:r>
        <w:rPr>
          <w:rFonts w:hint="eastAsia" w:ascii="宋体" w:hAnsi="宋体" w:eastAsia="宋体" w:cs="宋体"/>
          <w:szCs w:val="21"/>
          <w:lang w:eastAsia="zh-CN"/>
        </w:rPr>
        <w:t>膜</w:t>
      </w:r>
      <w:r>
        <w:rPr>
          <w:rFonts w:hint="eastAsia" w:ascii="宋体" w:hAnsi="宋体" w:eastAsia="宋体" w:cs="宋体"/>
          <w:szCs w:val="21"/>
        </w:rPr>
        <w:t>采用</w:t>
      </w:r>
      <w:r>
        <w:rPr>
          <w:rFonts w:hint="eastAsia" w:ascii="宋体" w:hAnsi="宋体" w:eastAsia="宋体" w:cs="宋体"/>
          <w:szCs w:val="21"/>
          <w:lang w:val="en-US" w:eastAsia="zh-CN"/>
        </w:rPr>
        <w:t>6</w:t>
      </w:r>
      <w:r>
        <w:rPr>
          <w:rFonts w:hint="eastAsia" w:ascii="宋体" w:hAnsi="宋体" w:eastAsia="宋体" w:cs="宋体"/>
          <w:szCs w:val="21"/>
        </w:rPr>
        <w:t>00g/m2</w:t>
      </w:r>
      <w:r>
        <w:rPr>
          <w:rFonts w:hint="eastAsia" w:ascii="宋体" w:hAnsi="宋体" w:eastAsia="宋体" w:cs="宋体"/>
          <w:szCs w:val="21"/>
          <w:lang w:eastAsia="zh-CN"/>
        </w:rPr>
        <w:t>，</w:t>
      </w:r>
      <w:r>
        <w:rPr>
          <w:rFonts w:hint="eastAsia" w:ascii="宋体" w:hAnsi="宋体" w:eastAsia="宋体" w:cs="宋体"/>
          <w:szCs w:val="21"/>
        </w:rPr>
        <w:t>土工</w:t>
      </w:r>
      <w:r>
        <w:rPr>
          <w:rFonts w:hint="eastAsia" w:ascii="宋体" w:hAnsi="宋体" w:eastAsia="宋体" w:cs="宋体"/>
          <w:szCs w:val="21"/>
          <w:lang w:eastAsia="zh-CN"/>
        </w:rPr>
        <w:t>布</w:t>
      </w:r>
      <w:r>
        <w:rPr>
          <w:rFonts w:hint="eastAsia" w:ascii="宋体" w:hAnsi="宋体" w:eastAsia="宋体" w:cs="宋体"/>
          <w:szCs w:val="21"/>
        </w:rPr>
        <w:t>采用</w:t>
      </w:r>
      <w:r>
        <w:rPr>
          <w:rFonts w:hint="eastAsia" w:ascii="宋体" w:hAnsi="宋体" w:eastAsia="宋体" w:cs="宋体"/>
          <w:szCs w:val="21"/>
          <w:lang w:val="en-US" w:eastAsia="zh-CN"/>
        </w:rPr>
        <w:t>4</w:t>
      </w:r>
      <w:r>
        <w:rPr>
          <w:rFonts w:hint="eastAsia" w:ascii="宋体" w:hAnsi="宋体" w:eastAsia="宋体" w:cs="宋体"/>
          <w:szCs w:val="21"/>
        </w:rPr>
        <w:t>00g/m2，人工铺设，施工前应进行场地平整，清除杂物，铺放应平顺，松紧适度，相邻片搭接长度不小于50cm</w:t>
      </w:r>
      <w:r>
        <w:rPr>
          <w:rFonts w:hint="eastAsia"/>
          <w:sz w:val="21"/>
          <w:szCs w:val="21"/>
          <w:lang w:val="en-US" w:eastAsia="zh-CN"/>
        </w:rPr>
        <w:t>。</w:t>
      </w:r>
    </w:p>
    <w:p>
      <w:pPr>
        <w:spacing w:line="440" w:lineRule="exact"/>
        <w:outlineLvl w:val="0"/>
        <w:rPr>
          <w:rFonts w:hint="eastAsia" w:ascii="宋体" w:hAnsi="宋体" w:cs="宋体"/>
          <w:b/>
          <w:szCs w:val="21"/>
        </w:rPr>
      </w:pPr>
      <w:bookmarkStart w:id="808" w:name="_Toc511564528"/>
      <w:bookmarkStart w:id="809" w:name="_Toc517383238"/>
      <w:r>
        <w:rPr>
          <w:rFonts w:hint="eastAsia" w:ascii="宋体" w:hAnsi="宋体" w:cs="宋体"/>
          <w:b/>
          <w:szCs w:val="21"/>
        </w:rPr>
        <w:t>1.3　发包人提供的施工图纸和文件</w:t>
      </w:r>
      <w:bookmarkEnd w:id="808"/>
      <w:bookmarkEnd w:id="809"/>
    </w:p>
    <w:p>
      <w:pPr>
        <w:spacing w:line="440" w:lineRule="exact"/>
        <w:outlineLvl w:val="0"/>
        <w:rPr>
          <w:rFonts w:hint="eastAsia" w:ascii="宋体" w:hAnsi="宋体" w:cs="宋体"/>
          <w:szCs w:val="21"/>
        </w:rPr>
      </w:pPr>
      <w:bookmarkStart w:id="810" w:name="_Toc517383239"/>
      <w:bookmarkStart w:id="811" w:name="_Toc511564529"/>
      <w:r>
        <w:rPr>
          <w:rFonts w:hint="eastAsia" w:ascii="宋体" w:hAnsi="宋体" w:cs="宋体"/>
          <w:szCs w:val="21"/>
        </w:rPr>
        <w:t>1.3.1　发包人负责提供的施工图纸和文件</w:t>
      </w:r>
      <w:bookmarkEnd w:id="810"/>
      <w:bookmarkEnd w:id="811"/>
    </w:p>
    <w:p>
      <w:pPr>
        <w:spacing w:line="440" w:lineRule="exact"/>
        <w:ind w:firstLine="420" w:firstLineChars="200"/>
        <w:rPr>
          <w:rFonts w:hint="eastAsia" w:ascii="宋体" w:hAnsi="宋体" w:cs="宋体"/>
          <w:szCs w:val="21"/>
        </w:rPr>
      </w:pPr>
      <w:r>
        <w:rPr>
          <w:rFonts w:hint="eastAsia" w:ascii="宋体" w:hAnsi="宋体" w:cs="宋体"/>
          <w:szCs w:val="21"/>
        </w:rPr>
        <w:t>(1)由发包人负责设计的工程项目，应由监理人按本章第1.3.2条签订的供图计划提供施工图纸给承包人。</w:t>
      </w:r>
    </w:p>
    <w:p>
      <w:pPr>
        <w:spacing w:line="44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bidi="he-IL"/>
        </w:rPr>
        <w:t xml:space="preserve"> </w:t>
      </w:r>
      <w:r>
        <w:rPr>
          <w:rFonts w:hint="eastAsia" w:ascii="宋体" w:hAnsi="宋体" w:cs="宋体"/>
          <w:szCs w:val="21"/>
        </w:rPr>
        <w:t>发包人在履行合同过程中，按合同约定向承包人提供的所有工程图纸和文件等，发包人不再另行收取费用。</w:t>
      </w:r>
    </w:p>
    <w:p>
      <w:pPr>
        <w:spacing w:line="440" w:lineRule="exact"/>
        <w:outlineLvl w:val="0"/>
        <w:rPr>
          <w:rFonts w:hint="eastAsia" w:ascii="宋体" w:hAnsi="宋体" w:cs="宋体"/>
          <w:szCs w:val="21"/>
        </w:rPr>
      </w:pPr>
      <w:bookmarkStart w:id="812" w:name="_Toc517383240"/>
      <w:bookmarkStart w:id="813" w:name="_Toc511564530"/>
      <w:r>
        <w:rPr>
          <w:rFonts w:hint="eastAsia" w:ascii="宋体" w:hAnsi="宋体" w:cs="宋体"/>
          <w:szCs w:val="21"/>
        </w:rPr>
        <w:t>1.3.2　发包人供图计划</w:t>
      </w:r>
      <w:bookmarkEnd w:id="812"/>
      <w:bookmarkEnd w:id="813"/>
    </w:p>
    <w:p>
      <w:pPr>
        <w:spacing w:line="440" w:lineRule="exact"/>
        <w:ind w:firstLine="420" w:firstLineChars="200"/>
        <w:rPr>
          <w:rFonts w:hint="eastAsia" w:ascii="宋体" w:hAnsi="宋体" w:cs="宋体"/>
          <w:szCs w:val="21"/>
        </w:rPr>
      </w:pPr>
      <w:r>
        <w:rPr>
          <w:rFonts w:hint="eastAsia" w:ascii="宋体" w:hAnsi="宋体" w:cs="宋体"/>
          <w:szCs w:val="21"/>
        </w:rPr>
        <w:t>(1)发包人应在发出开工通知后</w:t>
      </w:r>
      <w:r>
        <w:rPr>
          <w:rFonts w:hint="eastAsia" w:ascii="宋体" w:hAnsi="宋体" w:cs="宋体"/>
          <w:szCs w:val="21"/>
          <w:u w:val="single"/>
        </w:rPr>
        <w:t>7</w:t>
      </w:r>
      <w:r>
        <w:rPr>
          <w:rFonts w:hint="eastAsia" w:ascii="宋体" w:hAnsi="宋体" w:cs="宋体"/>
          <w:szCs w:val="21"/>
        </w:rPr>
        <w:t>天内，与承包人共同商签发包人供图计划，经合同双方签订的供图计划作为合同的补充文件。</w:t>
      </w:r>
    </w:p>
    <w:p>
      <w:pPr>
        <w:spacing w:line="440" w:lineRule="exact"/>
        <w:ind w:firstLine="420" w:firstLineChars="200"/>
        <w:rPr>
          <w:rFonts w:hint="eastAsia" w:ascii="宋体" w:hAnsi="宋体" w:cs="宋体"/>
          <w:szCs w:val="21"/>
        </w:rPr>
      </w:pPr>
      <w:r>
        <w:rPr>
          <w:rFonts w:hint="eastAsia" w:ascii="宋体" w:hAnsi="宋体" w:cs="宋体"/>
          <w:szCs w:val="21"/>
        </w:rPr>
        <w:t>(2)每年第四季度末，监理人应根据上述供图计划，提供详细的下年度供图计划给承包人。</w:t>
      </w:r>
    </w:p>
    <w:p>
      <w:pPr>
        <w:spacing w:line="440" w:lineRule="exact"/>
        <w:ind w:firstLine="420" w:firstLineChars="200"/>
        <w:rPr>
          <w:rFonts w:hint="eastAsia" w:ascii="宋体" w:hAnsi="宋体" w:cs="宋体"/>
          <w:szCs w:val="21"/>
        </w:rPr>
      </w:pPr>
      <w:r>
        <w:rPr>
          <w:rFonts w:hint="eastAsia" w:ascii="宋体" w:hAnsi="宋体" w:cs="宋体"/>
          <w:szCs w:val="21"/>
        </w:rPr>
        <w:t>(3)不论何种原因调整和修订了合同进度计划，监理人应及时与承包人共同修订供图计划，并作为执行合同进度计划的补充文件。</w:t>
      </w:r>
    </w:p>
    <w:p>
      <w:pPr>
        <w:spacing w:line="440" w:lineRule="exact"/>
        <w:ind w:firstLine="420" w:firstLineChars="200"/>
        <w:rPr>
          <w:rFonts w:hint="eastAsia" w:ascii="宋体" w:hAnsi="宋体" w:cs="宋体"/>
          <w:szCs w:val="21"/>
        </w:rPr>
      </w:pPr>
      <w:r>
        <w:rPr>
          <w:rFonts w:hint="eastAsia" w:ascii="宋体" w:hAnsi="宋体" w:cs="宋体"/>
          <w:szCs w:val="21"/>
        </w:rPr>
        <w:t>(4)发包人应向承包人提供</w:t>
      </w:r>
      <w:r>
        <w:rPr>
          <w:rFonts w:hint="eastAsia" w:ascii="宋体" w:hAnsi="宋体" w:cs="宋体"/>
          <w:szCs w:val="21"/>
          <w:u w:val="single"/>
        </w:rPr>
        <w:t xml:space="preserve"> 8 </w:t>
      </w:r>
      <w:r>
        <w:rPr>
          <w:rFonts w:hint="eastAsia" w:ascii="宋体" w:hAnsi="宋体" w:cs="宋体"/>
          <w:szCs w:val="21"/>
        </w:rPr>
        <w:t>份各类施工图纸(包括设计修改图)。承包人可根据施工需要，要求增加提供图纸份数，并为增供的图纸支付费用。</w:t>
      </w:r>
    </w:p>
    <w:p>
      <w:pPr>
        <w:spacing w:line="440" w:lineRule="exact"/>
        <w:outlineLvl w:val="0"/>
        <w:rPr>
          <w:rFonts w:hint="eastAsia" w:ascii="宋体" w:hAnsi="宋体" w:cs="宋体"/>
          <w:szCs w:val="21"/>
        </w:rPr>
      </w:pPr>
      <w:bookmarkStart w:id="814" w:name="_Toc511564531"/>
      <w:bookmarkStart w:id="815" w:name="_Toc517383241"/>
      <w:r>
        <w:rPr>
          <w:rFonts w:hint="eastAsia" w:ascii="宋体" w:hAnsi="宋体" w:cs="宋体"/>
          <w:szCs w:val="21"/>
        </w:rPr>
        <w:t>1.3.3　发包人提供施工图纸的期限</w:t>
      </w:r>
      <w:bookmarkEnd w:id="814"/>
      <w:bookmarkEnd w:id="815"/>
    </w:p>
    <w:p>
      <w:pPr>
        <w:spacing w:line="440" w:lineRule="exact"/>
        <w:ind w:firstLine="420" w:firstLineChars="200"/>
        <w:rPr>
          <w:rFonts w:hint="eastAsia" w:ascii="宋体" w:hAnsi="宋体" w:cs="宋体"/>
          <w:szCs w:val="21"/>
        </w:rPr>
      </w:pPr>
      <w:r>
        <w:rPr>
          <w:rFonts w:hint="eastAsia" w:ascii="宋体" w:hAnsi="宋体" w:cs="宋体"/>
          <w:szCs w:val="21"/>
        </w:rPr>
        <w:t>(1)用于承包人编制施工进度计划和施工总布置所需的工程枢纽总布置图和主要工程建筑物布置图应在签署合同协议书后</w:t>
      </w:r>
      <w:r>
        <w:rPr>
          <w:rFonts w:hint="eastAsia" w:ascii="宋体" w:hAnsi="宋体" w:cs="宋体"/>
          <w:szCs w:val="21"/>
          <w:u w:val="single"/>
        </w:rPr>
        <w:t>　14　</w:t>
      </w:r>
      <w:r>
        <w:rPr>
          <w:rFonts w:hint="eastAsia" w:ascii="宋体" w:hAnsi="宋体" w:cs="宋体"/>
          <w:szCs w:val="21"/>
        </w:rPr>
        <w:t>天内提供给承包人。</w:t>
      </w:r>
    </w:p>
    <w:p>
      <w:pPr>
        <w:spacing w:line="440" w:lineRule="exact"/>
        <w:ind w:firstLine="420" w:firstLineChars="200"/>
        <w:rPr>
          <w:rFonts w:hint="eastAsia" w:ascii="宋体" w:hAnsi="宋体" w:cs="宋体"/>
          <w:szCs w:val="21"/>
        </w:rPr>
      </w:pPr>
      <w:r>
        <w:rPr>
          <w:rFonts w:hint="eastAsia" w:ascii="宋体" w:hAnsi="宋体" w:cs="宋体"/>
          <w:szCs w:val="21"/>
        </w:rPr>
        <w:t>(2)用于各工程项目施工的工程建筑物结构布置图、体形图等施工图纸，应在该项目工程施工前</w:t>
      </w:r>
      <w:r>
        <w:rPr>
          <w:rFonts w:hint="eastAsia" w:ascii="宋体" w:hAnsi="宋体" w:cs="宋体"/>
          <w:szCs w:val="21"/>
          <w:u w:val="single"/>
        </w:rPr>
        <w:t>　14　</w:t>
      </w:r>
      <w:r>
        <w:rPr>
          <w:rFonts w:hint="eastAsia" w:ascii="宋体" w:hAnsi="宋体" w:cs="宋体"/>
          <w:szCs w:val="21"/>
        </w:rPr>
        <w:t>天提供给承包人。</w:t>
      </w:r>
    </w:p>
    <w:p>
      <w:pPr>
        <w:spacing w:line="440" w:lineRule="exact"/>
        <w:ind w:firstLine="420" w:firstLineChars="200"/>
        <w:rPr>
          <w:rFonts w:hint="eastAsia" w:ascii="宋体" w:hAnsi="宋体" w:cs="宋体"/>
          <w:szCs w:val="21"/>
        </w:rPr>
      </w:pPr>
      <w:r>
        <w:rPr>
          <w:rFonts w:hint="eastAsia" w:ascii="宋体" w:hAnsi="宋体" w:cs="宋体"/>
          <w:szCs w:val="21"/>
        </w:rPr>
        <w:t>(3)用于工程施工的开挖支护图、配筋图、细部设计图和浇筑图等施工图纸，应在该部位施工前</w:t>
      </w:r>
      <w:r>
        <w:rPr>
          <w:rFonts w:hint="eastAsia" w:ascii="宋体" w:hAnsi="宋体" w:cs="宋体"/>
          <w:szCs w:val="21"/>
          <w:u w:val="single"/>
        </w:rPr>
        <w:t>　14　</w:t>
      </w:r>
      <w:r>
        <w:rPr>
          <w:rFonts w:hint="eastAsia" w:ascii="宋体" w:hAnsi="宋体" w:cs="宋体"/>
          <w:szCs w:val="21"/>
        </w:rPr>
        <w:t>天提供给承包人。</w:t>
      </w:r>
    </w:p>
    <w:p>
      <w:pPr>
        <w:spacing w:line="440" w:lineRule="exact"/>
        <w:ind w:firstLine="420" w:firstLineChars="200"/>
        <w:rPr>
          <w:rFonts w:hint="eastAsia" w:ascii="宋体" w:hAnsi="宋体" w:cs="宋体"/>
          <w:szCs w:val="21"/>
        </w:rPr>
      </w:pPr>
      <w:r>
        <w:rPr>
          <w:rFonts w:hint="eastAsia" w:ascii="宋体" w:hAnsi="宋体" w:cs="宋体"/>
          <w:szCs w:val="21"/>
        </w:rPr>
        <w:t>(4)用于安装监测仪器安装和埋设的施工图纸和技术文件应在开始安装埋设前</w:t>
      </w:r>
      <w:r>
        <w:rPr>
          <w:rFonts w:hint="eastAsia" w:ascii="宋体" w:hAnsi="宋体" w:cs="宋体"/>
          <w:szCs w:val="21"/>
          <w:u w:val="single"/>
        </w:rPr>
        <w:t>28</w:t>
      </w:r>
      <w:r>
        <w:rPr>
          <w:rFonts w:hint="eastAsia" w:ascii="宋体" w:hAnsi="宋体" w:cs="宋体"/>
          <w:szCs w:val="21"/>
        </w:rPr>
        <w:t>天提供给承包人。</w:t>
      </w:r>
    </w:p>
    <w:p>
      <w:pPr>
        <w:spacing w:line="440" w:lineRule="exact"/>
        <w:outlineLvl w:val="0"/>
        <w:rPr>
          <w:rFonts w:hint="eastAsia" w:ascii="宋体" w:hAnsi="宋体" w:cs="宋体"/>
          <w:szCs w:val="21"/>
        </w:rPr>
      </w:pPr>
      <w:bookmarkStart w:id="816" w:name="_Toc517383242"/>
      <w:bookmarkStart w:id="817" w:name="_Toc511564532"/>
      <w:r>
        <w:rPr>
          <w:rFonts w:hint="eastAsia" w:ascii="宋体" w:hAnsi="宋体" w:cs="宋体"/>
          <w:szCs w:val="21"/>
        </w:rPr>
        <w:t>1.3.4　施工图纸的修改</w:t>
      </w:r>
      <w:bookmarkEnd w:id="816"/>
      <w:bookmarkEnd w:id="817"/>
    </w:p>
    <w:p>
      <w:pPr>
        <w:spacing w:line="440" w:lineRule="exact"/>
        <w:ind w:firstLine="420" w:firstLineChars="200"/>
        <w:rPr>
          <w:rFonts w:hint="eastAsia" w:ascii="宋体" w:hAnsi="宋体" w:cs="宋体"/>
          <w:szCs w:val="21"/>
        </w:rPr>
      </w:pPr>
      <w:r>
        <w:rPr>
          <w:rFonts w:hint="eastAsia" w:ascii="宋体" w:hAnsi="宋体" w:cs="宋体"/>
          <w:szCs w:val="21"/>
        </w:rPr>
        <w:t>(1)承包人收到发包人按上述第1.3.3条的规定提交施工图纸后，应进行详细检查，若发现错误或表达不清楚时，应在收到图纸后的</w:t>
      </w:r>
      <w:r>
        <w:rPr>
          <w:rFonts w:hint="eastAsia" w:ascii="宋体" w:hAnsi="宋体" w:cs="宋体"/>
          <w:szCs w:val="21"/>
          <w:u w:val="single"/>
        </w:rPr>
        <w:t>7</w:t>
      </w:r>
      <w:r>
        <w:rPr>
          <w:rFonts w:hint="eastAsia" w:ascii="宋体" w:hAnsi="宋体" w:cs="宋体"/>
          <w:szCs w:val="21"/>
        </w:rPr>
        <w:t>天内书面通知监理人。若监理人确认需要作出修改或补充时，应在接件后</w:t>
      </w:r>
      <w:r>
        <w:rPr>
          <w:rFonts w:hint="eastAsia" w:ascii="宋体" w:hAnsi="宋体" w:cs="宋体"/>
          <w:szCs w:val="21"/>
          <w:u w:val="single"/>
        </w:rPr>
        <w:t>　14　</w:t>
      </w:r>
      <w:r>
        <w:rPr>
          <w:rFonts w:hint="eastAsia" w:ascii="宋体" w:hAnsi="宋体" w:cs="宋体"/>
          <w:szCs w:val="21"/>
        </w:rPr>
        <w:t>天内将修改和补充后的施工图纸重新提交给承包人。</w:t>
      </w:r>
    </w:p>
    <w:p>
      <w:pPr>
        <w:spacing w:line="440" w:lineRule="exact"/>
        <w:ind w:firstLine="420" w:firstLineChars="200"/>
        <w:rPr>
          <w:rFonts w:hint="eastAsia" w:ascii="宋体" w:hAnsi="宋体" w:cs="宋体"/>
          <w:szCs w:val="21"/>
        </w:rPr>
      </w:pPr>
      <w:r>
        <w:rPr>
          <w:rFonts w:hint="eastAsia" w:ascii="宋体" w:hAnsi="宋体" w:cs="宋体"/>
          <w:szCs w:val="21"/>
        </w:rPr>
        <w:t>(2)监理人发出施工图纸后，需要对某些工程设计进行修改和补充时，应在该部位开始施工</w:t>
      </w:r>
      <w:r>
        <w:rPr>
          <w:rFonts w:hint="eastAsia" w:ascii="宋体" w:hAnsi="宋体" w:cs="宋体"/>
          <w:szCs w:val="21"/>
          <w:u w:val="single"/>
        </w:rPr>
        <w:t>14</w:t>
      </w:r>
      <w:r>
        <w:rPr>
          <w:rFonts w:hint="eastAsia" w:ascii="宋体" w:hAnsi="宋体" w:cs="宋体"/>
          <w:szCs w:val="21"/>
        </w:rPr>
        <w:t>天前及时签发设计修改图。</w:t>
      </w:r>
    </w:p>
    <w:p>
      <w:pPr>
        <w:spacing w:line="440" w:lineRule="exact"/>
        <w:ind w:firstLine="420" w:firstLineChars="200"/>
        <w:rPr>
          <w:rFonts w:hint="eastAsia" w:ascii="宋体" w:hAnsi="宋体" w:cs="宋体"/>
          <w:szCs w:val="21"/>
        </w:rPr>
      </w:pPr>
      <w:r>
        <w:rPr>
          <w:rFonts w:hint="eastAsia" w:ascii="宋体" w:hAnsi="宋体" w:cs="宋体"/>
          <w:szCs w:val="21"/>
        </w:rPr>
        <w:t>(3)若因施工情况紧急，监理人无法在上述规定的时间内签发修改施工图纸，可以临时发出施工图修改通知单，但应在此后的合理时限内补发正式施工图纸。</w:t>
      </w:r>
    </w:p>
    <w:p>
      <w:pPr>
        <w:spacing w:line="440" w:lineRule="exact"/>
        <w:outlineLvl w:val="0"/>
        <w:rPr>
          <w:rFonts w:hint="eastAsia" w:ascii="宋体" w:hAnsi="宋体" w:cs="宋体"/>
          <w:b/>
          <w:szCs w:val="21"/>
        </w:rPr>
      </w:pPr>
      <w:bookmarkStart w:id="818" w:name="_Toc517383243"/>
      <w:bookmarkStart w:id="819" w:name="_Toc511564533"/>
      <w:r>
        <w:rPr>
          <w:rFonts w:hint="eastAsia" w:ascii="宋体" w:hAnsi="宋体" w:cs="宋体"/>
          <w:b/>
          <w:szCs w:val="21"/>
        </w:rPr>
        <w:t>1.4　承包人提交的文件</w:t>
      </w:r>
      <w:bookmarkEnd w:id="818"/>
      <w:bookmarkEnd w:id="819"/>
    </w:p>
    <w:p>
      <w:pPr>
        <w:spacing w:line="440" w:lineRule="exact"/>
        <w:outlineLvl w:val="0"/>
        <w:rPr>
          <w:rFonts w:hint="eastAsia" w:ascii="宋体" w:hAnsi="宋体" w:cs="宋体"/>
          <w:szCs w:val="21"/>
        </w:rPr>
      </w:pPr>
      <w:bookmarkStart w:id="820" w:name="_Toc511564534"/>
      <w:bookmarkStart w:id="821" w:name="_Toc517383244"/>
      <w:r>
        <w:rPr>
          <w:rFonts w:hint="eastAsia" w:ascii="宋体" w:hAnsi="宋体" w:cs="宋体"/>
          <w:szCs w:val="21"/>
        </w:rPr>
        <w:t>1.4.1　承包人文件的提交计划</w:t>
      </w:r>
      <w:bookmarkEnd w:id="820"/>
      <w:bookmarkEnd w:id="821"/>
    </w:p>
    <w:p>
      <w:pPr>
        <w:spacing w:line="440" w:lineRule="exact"/>
        <w:ind w:firstLine="420" w:firstLineChars="200"/>
        <w:rPr>
          <w:rFonts w:hint="eastAsia" w:ascii="宋体" w:hAnsi="宋体" w:cs="宋体"/>
          <w:szCs w:val="21"/>
        </w:rPr>
      </w:pPr>
      <w:r>
        <w:rPr>
          <w:rFonts w:hint="eastAsia" w:ascii="宋体" w:hAnsi="宋体" w:cs="宋体"/>
          <w:szCs w:val="21"/>
        </w:rPr>
        <w:t>承包人应在签署协议书后</w:t>
      </w:r>
      <w:r>
        <w:rPr>
          <w:rFonts w:hint="eastAsia" w:ascii="宋体" w:hAnsi="宋体" w:cs="宋体"/>
          <w:szCs w:val="21"/>
          <w:u w:val="single"/>
        </w:rPr>
        <w:t>　14　</w:t>
      </w:r>
      <w:r>
        <w:rPr>
          <w:rFonts w:hint="eastAsia" w:ascii="宋体" w:hAnsi="宋体" w:cs="宋体"/>
          <w:szCs w:val="21"/>
        </w:rPr>
        <w:t>天内，根据监理人批准的合同进度计划，编制一份由项目经理签署的承包人文件提交计划，提交监理人审批，监理人应在收到该提交计划后的</w:t>
      </w:r>
      <w:r>
        <w:rPr>
          <w:rFonts w:hint="eastAsia" w:ascii="宋体" w:hAnsi="宋体" w:cs="宋体"/>
          <w:szCs w:val="21"/>
          <w:u w:val="single"/>
        </w:rPr>
        <w:t>28</w:t>
      </w:r>
      <w:r>
        <w:rPr>
          <w:rFonts w:hint="eastAsia" w:ascii="宋体" w:hAnsi="宋体" w:cs="宋体"/>
          <w:szCs w:val="21"/>
        </w:rPr>
        <w:t>天内批复承包人。承包人文件的内容应包括本章第1.4.2～1.4.5条规定的各项提交件，以及按合同约定应由承包人提交的其它图纸和文件。</w:t>
      </w:r>
    </w:p>
    <w:p>
      <w:pPr>
        <w:spacing w:line="440" w:lineRule="exact"/>
        <w:outlineLvl w:val="0"/>
        <w:rPr>
          <w:rFonts w:hint="eastAsia" w:ascii="宋体" w:hAnsi="宋体" w:cs="宋体"/>
          <w:szCs w:val="21"/>
        </w:rPr>
      </w:pPr>
      <w:bookmarkStart w:id="822" w:name="_Toc517383245"/>
      <w:bookmarkStart w:id="823" w:name="_Toc511564535"/>
      <w:r>
        <w:rPr>
          <w:rFonts w:hint="eastAsia" w:ascii="宋体" w:hAnsi="宋体" w:cs="宋体"/>
          <w:szCs w:val="21"/>
        </w:rPr>
        <w:t>1.4.2　承包人负责设计的临时工程图纸和文件</w:t>
      </w:r>
      <w:bookmarkEnd w:id="822"/>
      <w:bookmarkEnd w:id="823"/>
    </w:p>
    <w:p>
      <w:pPr>
        <w:spacing w:line="440" w:lineRule="exact"/>
        <w:ind w:firstLine="420" w:firstLineChars="200"/>
        <w:rPr>
          <w:rFonts w:hint="eastAsia" w:ascii="宋体" w:hAnsi="宋体" w:cs="宋体"/>
          <w:szCs w:val="21"/>
        </w:rPr>
      </w:pPr>
      <w:r>
        <w:rPr>
          <w:rFonts w:hint="eastAsia" w:ascii="宋体" w:hAnsi="宋体" w:cs="宋体"/>
          <w:szCs w:val="21"/>
        </w:rPr>
        <w:t>(1)由承包人负责设计的临时工程项目，应在该项目开工前</w:t>
      </w:r>
      <w:r>
        <w:rPr>
          <w:rFonts w:hint="eastAsia" w:ascii="宋体" w:hAnsi="宋体" w:cs="宋体"/>
          <w:szCs w:val="21"/>
          <w:u w:val="single"/>
        </w:rPr>
        <w:t>　14　</w:t>
      </w:r>
      <w:r>
        <w:rPr>
          <w:rFonts w:hint="eastAsia" w:ascii="宋体" w:hAnsi="宋体" w:cs="宋体"/>
          <w:szCs w:val="21"/>
        </w:rPr>
        <w:t>天，提交该项目的总布置图、结构详图及其设计依据，以及监理人认为需要提交的其它图纸和文件，提交监理人批准。</w:t>
      </w:r>
    </w:p>
    <w:p>
      <w:pPr>
        <w:spacing w:line="440" w:lineRule="exact"/>
        <w:ind w:firstLine="420" w:firstLineChars="200"/>
        <w:rPr>
          <w:rFonts w:hint="eastAsia" w:ascii="宋体" w:hAnsi="宋体" w:cs="宋体"/>
          <w:szCs w:val="21"/>
        </w:rPr>
      </w:pPr>
      <w:r>
        <w:rPr>
          <w:rFonts w:hint="eastAsia" w:ascii="宋体" w:hAnsi="宋体" w:cs="宋体"/>
          <w:szCs w:val="21"/>
        </w:rPr>
        <w:t>(2)承包人提交的上述临时工程项目的基本资料、试验成果、施工样品，以及所有图纸、文件和影像资料等，其所需的费用均包括在相关项目的报价中，发包人不另行支付。</w:t>
      </w:r>
    </w:p>
    <w:p>
      <w:pPr>
        <w:spacing w:line="440" w:lineRule="exact"/>
        <w:outlineLvl w:val="0"/>
        <w:rPr>
          <w:rFonts w:hint="eastAsia" w:ascii="宋体" w:hAnsi="宋体" w:cs="宋体"/>
          <w:szCs w:val="21"/>
        </w:rPr>
      </w:pPr>
      <w:bookmarkStart w:id="824" w:name="_Toc517383246"/>
      <w:bookmarkStart w:id="825" w:name="_Toc511564536"/>
      <w:r>
        <w:rPr>
          <w:rFonts w:hint="eastAsia" w:ascii="宋体" w:hAnsi="宋体" w:cs="宋体"/>
          <w:szCs w:val="21"/>
        </w:rPr>
        <w:t>1.4.3　施工总进度计划</w:t>
      </w:r>
      <w:bookmarkEnd w:id="824"/>
      <w:bookmarkEnd w:id="825"/>
    </w:p>
    <w:p>
      <w:pPr>
        <w:spacing w:line="440" w:lineRule="exact"/>
        <w:ind w:firstLine="420" w:firstLineChars="200"/>
        <w:rPr>
          <w:rFonts w:hint="eastAsia" w:ascii="宋体" w:hAnsi="宋体" w:cs="宋体"/>
          <w:szCs w:val="21"/>
        </w:rPr>
      </w:pPr>
      <w:r>
        <w:rPr>
          <w:rFonts w:hint="eastAsia" w:ascii="宋体" w:hAnsi="宋体" w:cs="宋体"/>
          <w:szCs w:val="21"/>
        </w:rPr>
        <w:t>(1)承包人按本合同专用合同条款第10.1款以及本工程施工控制节点工期要求提交的施工总进度计划，应采用关键线路法编制网络图、网络图应包括以下各项数据和内容，表述全部工程施工作业间的逻辑关系：</w:t>
      </w:r>
    </w:p>
    <w:p>
      <w:pPr>
        <w:spacing w:line="440" w:lineRule="exact"/>
        <w:ind w:firstLine="420" w:firstLineChars="200"/>
        <w:rPr>
          <w:rFonts w:hint="eastAsia" w:ascii="宋体" w:hAnsi="宋体" w:cs="宋体"/>
          <w:szCs w:val="21"/>
        </w:rPr>
      </w:pPr>
      <w:r>
        <w:rPr>
          <w:rFonts w:hint="eastAsia" w:ascii="宋体" w:hAnsi="宋体" w:cs="宋体"/>
          <w:szCs w:val="21"/>
        </w:rPr>
        <w:t>1)作业和相应节点编号；</w:t>
      </w:r>
    </w:p>
    <w:p>
      <w:pPr>
        <w:spacing w:line="440" w:lineRule="exact"/>
        <w:ind w:firstLine="420" w:firstLineChars="200"/>
        <w:rPr>
          <w:rFonts w:hint="eastAsia" w:ascii="宋体" w:hAnsi="宋体" w:cs="宋体"/>
          <w:szCs w:val="21"/>
        </w:rPr>
      </w:pPr>
      <w:r>
        <w:rPr>
          <w:rFonts w:hint="eastAsia" w:ascii="宋体" w:hAnsi="宋体" w:cs="宋体"/>
          <w:szCs w:val="21"/>
        </w:rPr>
        <w:t>2)各项施工作业间的衔接逻辑和协调关系；</w:t>
      </w:r>
    </w:p>
    <w:p>
      <w:pPr>
        <w:spacing w:line="440" w:lineRule="exact"/>
        <w:ind w:firstLine="420" w:firstLineChars="200"/>
        <w:rPr>
          <w:rFonts w:hint="eastAsia" w:ascii="宋体" w:hAnsi="宋体" w:cs="宋体"/>
          <w:szCs w:val="21"/>
        </w:rPr>
      </w:pPr>
      <w:r>
        <w:rPr>
          <w:rFonts w:hint="eastAsia" w:ascii="宋体" w:hAnsi="宋体" w:cs="宋体"/>
          <w:szCs w:val="21"/>
        </w:rPr>
        <w:t>3)持续时间；</w:t>
      </w:r>
    </w:p>
    <w:p>
      <w:pPr>
        <w:spacing w:line="440" w:lineRule="exact"/>
        <w:ind w:firstLine="420" w:firstLineChars="200"/>
        <w:rPr>
          <w:rFonts w:hint="eastAsia" w:ascii="宋体" w:hAnsi="宋体" w:cs="宋体"/>
          <w:szCs w:val="21"/>
        </w:rPr>
      </w:pPr>
      <w:r>
        <w:rPr>
          <w:rFonts w:hint="eastAsia" w:ascii="宋体" w:hAnsi="宋体" w:cs="宋体"/>
          <w:szCs w:val="21"/>
        </w:rPr>
        <w:t>4)最早开工及最早完工日期；</w:t>
      </w:r>
    </w:p>
    <w:p>
      <w:pPr>
        <w:spacing w:line="440" w:lineRule="exact"/>
        <w:ind w:firstLine="420" w:firstLineChars="200"/>
        <w:rPr>
          <w:rFonts w:hint="eastAsia" w:ascii="宋体" w:hAnsi="宋体" w:cs="宋体"/>
          <w:szCs w:val="21"/>
        </w:rPr>
      </w:pPr>
      <w:r>
        <w:rPr>
          <w:rFonts w:hint="eastAsia" w:ascii="宋体" w:hAnsi="宋体" w:cs="宋体"/>
          <w:szCs w:val="21"/>
        </w:rPr>
        <w:t>5)最迟开工及最迟完工日期；</w:t>
      </w:r>
    </w:p>
    <w:p>
      <w:pPr>
        <w:spacing w:line="440" w:lineRule="exact"/>
        <w:ind w:firstLine="420" w:firstLineChars="200"/>
        <w:rPr>
          <w:rFonts w:hint="eastAsia" w:ascii="宋体" w:hAnsi="宋体" w:cs="宋体"/>
          <w:szCs w:val="21"/>
        </w:rPr>
      </w:pPr>
      <w:r>
        <w:rPr>
          <w:rFonts w:hint="eastAsia" w:ascii="宋体" w:hAnsi="宋体" w:cs="宋体"/>
          <w:szCs w:val="21"/>
        </w:rPr>
        <w:t>6)总时差和自由时差；</w:t>
      </w:r>
    </w:p>
    <w:p>
      <w:pPr>
        <w:spacing w:line="440" w:lineRule="exact"/>
        <w:ind w:firstLine="420" w:firstLineChars="200"/>
        <w:rPr>
          <w:rFonts w:hint="eastAsia" w:ascii="宋体" w:hAnsi="宋体" w:cs="宋体"/>
          <w:szCs w:val="21"/>
        </w:rPr>
      </w:pPr>
      <w:r>
        <w:rPr>
          <w:rFonts w:hint="eastAsia" w:ascii="宋体" w:hAnsi="宋体" w:cs="宋体"/>
          <w:szCs w:val="21"/>
        </w:rPr>
        <w:t>7)主要项目施工强度曲线；</w:t>
      </w:r>
    </w:p>
    <w:p>
      <w:pPr>
        <w:spacing w:line="440" w:lineRule="exact"/>
        <w:ind w:firstLine="420" w:firstLineChars="200"/>
        <w:rPr>
          <w:rFonts w:hint="eastAsia" w:ascii="宋体" w:hAnsi="宋体" w:cs="宋体"/>
          <w:szCs w:val="21"/>
        </w:rPr>
      </w:pPr>
      <w:r>
        <w:rPr>
          <w:rFonts w:hint="eastAsia" w:ascii="宋体" w:hAnsi="宋体" w:cs="宋体"/>
          <w:szCs w:val="21"/>
        </w:rPr>
        <w:t>8)附需要资源和说明。</w:t>
      </w:r>
    </w:p>
    <w:p>
      <w:pPr>
        <w:spacing w:line="440" w:lineRule="exact"/>
        <w:ind w:firstLine="420" w:firstLineChars="200"/>
        <w:rPr>
          <w:rFonts w:hint="eastAsia" w:ascii="宋体" w:hAnsi="宋体" w:cs="宋体"/>
          <w:szCs w:val="21"/>
        </w:rPr>
      </w:pPr>
      <w:r>
        <w:rPr>
          <w:rFonts w:hint="eastAsia" w:ascii="宋体" w:hAnsi="宋体" w:cs="宋体"/>
          <w:szCs w:val="21"/>
        </w:rPr>
        <w:t>(2)承包人编制的施工总进度计划应满足本合同约定的各工程施工控制节点工期要求。</w:t>
      </w:r>
    </w:p>
    <w:p>
      <w:pPr>
        <w:spacing w:line="440" w:lineRule="exact"/>
        <w:outlineLvl w:val="0"/>
        <w:rPr>
          <w:rFonts w:hint="eastAsia" w:ascii="宋体" w:hAnsi="宋体" w:cs="宋体"/>
          <w:szCs w:val="21"/>
        </w:rPr>
      </w:pPr>
      <w:bookmarkStart w:id="826" w:name="_Toc517383247"/>
      <w:bookmarkStart w:id="827" w:name="_Toc511564537"/>
      <w:r>
        <w:rPr>
          <w:rFonts w:hint="eastAsia" w:ascii="宋体" w:hAnsi="宋体" w:cs="宋体"/>
          <w:szCs w:val="21"/>
        </w:rPr>
        <w:t>1.4.4　施工总布置设计</w:t>
      </w:r>
      <w:bookmarkEnd w:id="826"/>
      <w:bookmarkEnd w:id="827"/>
    </w:p>
    <w:p>
      <w:pPr>
        <w:spacing w:line="440" w:lineRule="exact"/>
        <w:ind w:firstLine="420" w:firstLineChars="200"/>
        <w:rPr>
          <w:rFonts w:hint="eastAsia" w:ascii="宋体" w:hAnsi="宋体" w:cs="宋体"/>
          <w:szCs w:val="21"/>
        </w:rPr>
      </w:pPr>
      <w:r>
        <w:rPr>
          <w:rFonts w:hint="eastAsia" w:ascii="宋体" w:hAnsi="宋体" w:cs="宋体"/>
          <w:szCs w:val="21"/>
        </w:rPr>
        <w:t>(1)承包人应在收到开工通知后的</w:t>
      </w:r>
      <w:r>
        <w:rPr>
          <w:rFonts w:hint="eastAsia" w:ascii="宋体" w:hAnsi="宋体" w:cs="宋体"/>
          <w:szCs w:val="21"/>
          <w:u w:val="single"/>
        </w:rPr>
        <w:t>　14　</w:t>
      </w:r>
      <w:r>
        <w:rPr>
          <w:rFonts w:hint="eastAsia" w:ascii="宋体" w:hAnsi="宋体" w:cs="宋体"/>
          <w:szCs w:val="21"/>
        </w:rPr>
        <w:t>天内，将本合同工程的施工总布置设计文件，提交监理人批准。监理人应在签收后</w:t>
      </w:r>
      <w:r>
        <w:rPr>
          <w:rFonts w:hint="eastAsia" w:ascii="宋体" w:hAnsi="宋体" w:cs="宋体"/>
          <w:szCs w:val="21"/>
          <w:u w:val="single"/>
        </w:rPr>
        <w:t>　14　</w:t>
      </w:r>
      <w:r>
        <w:rPr>
          <w:rFonts w:hint="eastAsia" w:ascii="宋体" w:hAnsi="宋体" w:cs="宋体"/>
          <w:szCs w:val="21"/>
        </w:rPr>
        <w:t>天内批复承包人。</w:t>
      </w:r>
    </w:p>
    <w:p>
      <w:pPr>
        <w:spacing w:line="440" w:lineRule="exact"/>
        <w:ind w:firstLine="420" w:firstLineChars="200"/>
        <w:rPr>
          <w:rFonts w:hint="eastAsia" w:ascii="宋体" w:hAnsi="宋体" w:cs="宋体"/>
          <w:szCs w:val="21"/>
        </w:rPr>
      </w:pPr>
      <w:r>
        <w:rPr>
          <w:rFonts w:hint="eastAsia" w:ascii="宋体" w:hAnsi="宋体" w:cs="宋体"/>
          <w:szCs w:val="21"/>
        </w:rPr>
        <w:t>(2)承包人提交的施工总布置设计文件，其内容应包括施工总平面布置图、主要剖面图和设计说明书。承包人应按本技术条款第2章所列各项临时设施的设计和使用要求进行总平面布置，施工总布置的占地范围不得超过发包人划定的界线。</w:t>
      </w:r>
    </w:p>
    <w:p>
      <w:pPr>
        <w:spacing w:line="440" w:lineRule="exact"/>
        <w:ind w:firstLine="420" w:firstLineChars="200"/>
        <w:rPr>
          <w:rFonts w:hint="eastAsia" w:ascii="宋体" w:hAnsi="宋体" w:cs="宋体"/>
          <w:szCs w:val="21"/>
        </w:rPr>
      </w:pPr>
      <w:r>
        <w:rPr>
          <w:rFonts w:hint="eastAsia" w:ascii="宋体" w:hAnsi="宋体" w:cs="宋体"/>
          <w:szCs w:val="21"/>
        </w:rPr>
        <w:t>(3)承包人应按本技术条款第3章有关“施工安全措施”和第4章“环境保护和水土保持”的要求，保护好临时设施周围的边坡、冲沟、河道、河岸的稳定和安全。</w:t>
      </w:r>
    </w:p>
    <w:p>
      <w:pPr>
        <w:spacing w:line="440" w:lineRule="exact"/>
        <w:outlineLvl w:val="0"/>
        <w:rPr>
          <w:rFonts w:hint="eastAsia" w:ascii="宋体" w:hAnsi="宋体" w:cs="宋体"/>
          <w:szCs w:val="21"/>
        </w:rPr>
      </w:pPr>
      <w:bookmarkStart w:id="828" w:name="_Toc517383248"/>
      <w:bookmarkStart w:id="829" w:name="_Toc511564538"/>
      <w:r>
        <w:rPr>
          <w:rFonts w:hint="eastAsia" w:ascii="宋体" w:hAnsi="宋体" w:cs="宋体"/>
          <w:szCs w:val="21"/>
        </w:rPr>
        <w:t>1.4.5　主要施工方法和措施</w:t>
      </w:r>
      <w:bookmarkEnd w:id="828"/>
      <w:bookmarkEnd w:id="829"/>
    </w:p>
    <w:p>
      <w:pPr>
        <w:spacing w:line="440" w:lineRule="exact"/>
        <w:ind w:firstLine="420" w:firstLineChars="200"/>
        <w:rPr>
          <w:rFonts w:hint="eastAsia" w:ascii="宋体" w:hAnsi="宋体" w:cs="宋体"/>
          <w:szCs w:val="21"/>
        </w:rPr>
      </w:pPr>
      <w:r>
        <w:rPr>
          <w:rFonts w:hint="eastAsia" w:ascii="宋体" w:hAnsi="宋体" w:cs="宋体"/>
          <w:szCs w:val="21"/>
        </w:rPr>
        <w:t>(1)承包人应在每项工程开始施工或安装前</w:t>
      </w:r>
      <w:r>
        <w:rPr>
          <w:rFonts w:hint="eastAsia" w:ascii="宋体" w:hAnsi="宋体" w:cs="宋体"/>
          <w:szCs w:val="21"/>
          <w:u w:val="single"/>
        </w:rPr>
        <w:t>　14　</w:t>
      </w:r>
      <w:r>
        <w:rPr>
          <w:rFonts w:hint="eastAsia" w:ascii="宋体" w:hAnsi="宋体" w:cs="宋体"/>
          <w:szCs w:val="21"/>
        </w:rPr>
        <w:t>天，编制各工程项目的施工方法和措施，提交监理人批准。监理人应在收到文件后的</w:t>
      </w:r>
      <w:r>
        <w:rPr>
          <w:rFonts w:hint="eastAsia" w:ascii="宋体" w:hAnsi="宋体" w:cs="宋体"/>
          <w:szCs w:val="21"/>
          <w:u w:val="single"/>
        </w:rPr>
        <w:t>　14　</w:t>
      </w:r>
      <w:r>
        <w:rPr>
          <w:rFonts w:hint="eastAsia" w:ascii="宋体" w:hAnsi="宋体" w:cs="宋体"/>
          <w:szCs w:val="21"/>
        </w:rPr>
        <w:t>天内批复承包人。</w:t>
      </w:r>
    </w:p>
    <w:p>
      <w:pPr>
        <w:spacing w:line="440" w:lineRule="exact"/>
        <w:ind w:firstLine="420" w:firstLineChars="200"/>
        <w:rPr>
          <w:rFonts w:hint="eastAsia" w:ascii="宋体" w:hAnsi="宋体" w:cs="宋体"/>
          <w:szCs w:val="21"/>
        </w:rPr>
      </w:pPr>
      <w:r>
        <w:rPr>
          <w:rFonts w:hint="eastAsia" w:ascii="宋体" w:hAnsi="宋体" w:cs="宋体"/>
          <w:szCs w:val="21"/>
        </w:rPr>
        <w:t>(2)承包人按监理人指示提交的施工方法和措施，应包括施工需要的浇筑图、车间加工图和安装图等施工文件。</w:t>
      </w:r>
    </w:p>
    <w:p>
      <w:pPr>
        <w:spacing w:line="440" w:lineRule="exact"/>
        <w:outlineLvl w:val="0"/>
        <w:rPr>
          <w:rFonts w:hint="eastAsia" w:ascii="宋体" w:hAnsi="宋体" w:cs="宋体"/>
          <w:szCs w:val="21"/>
        </w:rPr>
      </w:pPr>
      <w:bookmarkStart w:id="830" w:name="_Toc517383249"/>
      <w:bookmarkStart w:id="831" w:name="_Toc511564539"/>
      <w:r>
        <w:rPr>
          <w:rFonts w:hint="eastAsia" w:ascii="宋体" w:hAnsi="宋体" w:cs="宋体"/>
          <w:szCs w:val="21"/>
        </w:rPr>
        <w:t>1.4.6　承包人文件的审批</w:t>
      </w:r>
      <w:bookmarkEnd w:id="830"/>
      <w:bookmarkEnd w:id="831"/>
    </w:p>
    <w:p>
      <w:pPr>
        <w:spacing w:line="440" w:lineRule="exact"/>
        <w:ind w:firstLine="420" w:firstLineChars="200"/>
        <w:rPr>
          <w:rFonts w:hint="eastAsia" w:ascii="宋体" w:hAnsi="宋体" w:cs="宋体"/>
          <w:szCs w:val="21"/>
        </w:rPr>
      </w:pPr>
      <w:r>
        <w:rPr>
          <w:rFonts w:hint="eastAsia" w:ascii="宋体" w:hAnsi="宋体" w:cs="宋体"/>
          <w:szCs w:val="21"/>
        </w:rPr>
        <w:t>(1)除合同另有约定外，凡须经监理人审批的承包人文件，应在收到文件后</w:t>
      </w:r>
      <w:r>
        <w:rPr>
          <w:rFonts w:hint="eastAsia" w:ascii="宋体" w:hAnsi="宋体" w:cs="宋体"/>
          <w:szCs w:val="21"/>
          <w:u w:val="single"/>
        </w:rPr>
        <w:t>　14　</w:t>
      </w:r>
      <w:r>
        <w:rPr>
          <w:rFonts w:hint="eastAsia" w:ascii="宋体" w:hAnsi="宋体" w:cs="宋体"/>
          <w:szCs w:val="21"/>
        </w:rPr>
        <w:t>天内批复承包人，逾期不批复，则视为已经监理人批准。监理人的审批意见包括：</w:t>
      </w:r>
    </w:p>
    <w:p>
      <w:pPr>
        <w:spacing w:line="440" w:lineRule="exact"/>
        <w:ind w:firstLine="420" w:firstLineChars="200"/>
        <w:rPr>
          <w:rFonts w:hint="eastAsia" w:ascii="宋体" w:hAnsi="宋体" w:cs="宋体"/>
          <w:szCs w:val="21"/>
        </w:rPr>
      </w:pPr>
      <w:r>
        <w:rPr>
          <w:rFonts w:hint="eastAsia" w:ascii="宋体" w:hAnsi="宋体" w:cs="宋体"/>
          <w:szCs w:val="21"/>
        </w:rPr>
        <w:t>1)同意按此执行；或</w:t>
      </w:r>
    </w:p>
    <w:p>
      <w:pPr>
        <w:spacing w:line="440" w:lineRule="exact"/>
        <w:ind w:firstLine="420" w:firstLineChars="200"/>
        <w:rPr>
          <w:rFonts w:hint="eastAsia" w:ascii="宋体" w:hAnsi="宋体" w:cs="宋体"/>
          <w:szCs w:val="21"/>
        </w:rPr>
      </w:pPr>
      <w:r>
        <w:rPr>
          <w:rFonts w:hint="eastAsia" w:ascii="宋体" w:hAnsi="宋体" w:cs="宋体"/>
          <w:szCs w:val="21"/>
        </w:rPr>
        <w:t>2)按修改意见执行；或</w:t>
      </w:r>
    </w:p>
    <w:p>
      <w:pPr>
        <w:spacing w:line="440" w:lineRule="exact"/>
        <w:ind w:firstLine="420" w:firstLineChars="200"/>
        <w:rPr>
          <w:rFonts w:hint="eastAsia" w:ascii="宋体" w:hAnsi="宋体" w:cs="宋体"/>
          <w:szCs w:val="21"/>
        </w:rPr>
      </w:pPr>
      <w:r>
        <w:rPr>
          <w:rFonts w:hint="eastAsia" w:ascii="宋体" w:hAnsi="宋体" w:cs="宋体"/>
          <w:szCs w:val="21"/>
        </w:rPr>
        <w:t>3)修改后重新提交；或</w:t>
      </w:r>
    </w:p>
    <w:p>
      <w:pPr>
        <w:spacing w:line="440" w:lineRule="exact"/>
        <w:ind w:firstLine="420" w:firstLineChars="200"/>
        <w:rPr>
          <w:rFonts w:hint="eastAsia" w:ascii="宋体" w:hAnsi="宋体" w:cs="宋体"/>
          <w:szCs w:val="21"/>
        </w:rPr>
      </w:pPr>
      <w:r>
        <w:rPr>
          <w:rFonts w:hint="eastAsia" w:ascii="宋体" w:hAnsi="宋体" w:cs="宋体"/>
          <w:szCs w:val="21"/>
        </w:rPr>
        <w:t>4)不予批准。</w:t>
      </w:r>
    </w:p>
    <w:p>
      <w:pPr>
        <w:spacing w:line="440" w:lineRule="exact"/>
        <w:ind w:firstLine="420" w:firstLineChars="200"/>
        <w:rPr>
          <w:rFonts w:hint="eastAsia" w:ascii="宋体" w:hAnsi="宋体" w:cs="宋体"/>
          <w:szCs w:val="21"/>
        </w:rPr>
      </w:pPr>
      <w:r>
        <w:rPr>
          <w:rFonts w:hint="eastAsia" w:ascii="宋体" w:hAnsi="宋体" w:cs="宋体"/>
          <w:szCs w:val="21"/>
        </w:rPr>
        <w:t>(2)凡标有“按修改意见执行”或“修改后重新提交”的图纸和文件，应由承包人在收到批复件后</w:t>
      </w:r>
      <w:r>
        <w:rPr>
          <w:rFonts w:hint="eastAsia" w:ascii="宋体" w:hAnsi="宋体" w:cs="宋体"/>
          <w:szCs w:val="21"/>
          <w:u w:val="single"/>
        </w:rPr>
        <w:t>　7　</w:t>
      </w:r>
      <w:r>
        <w:rPr>
          <w:rFonts w:hint="eastAsia" w:ascii="宋体" w:hAnsi="宋体" w:cs="宋体"/>
          <w:szCs w:val="21"/>
        </w:rPr>
        <w:t>天内作出相应修改。所有修改都应由承包人在修改的图纸和文件上标明编号、日期以及说明修改范围和内容，并由承包人项目经理签字后，重新提交监理人批复，监理人应在图纸的角签部位和文件的签署栏签注处理意见后，发还承包人执行。</w:t>
      </w:r>
    </w:p>
    <w:p>
      <w:pPr>
        <w:spacing w:line="440" w:lineRule="exact"/>
        <w:ind w:firstLine="420" w:firstLineChars="200"/>
        <w:rPr>
          <w:rFonts w:hint="eastAsia" w:ascii="宋体" w:hAnsi="宋体" w:cs="宋体"/>
          <w:szCs w:val="21"/>
        </w:rPr>
      </w:pPr>
      <w:r>
        <w:rPr>
          <w:rFonts w:hint="eastAsia" w:ascii="宋体" w:hAnsi="宋体" w:cs="宋体"/>
          <w:szCs w:val="21"/>
        </w:rPr>
        <w:t>(3)凡合同约定由承包人提交监理人批准的图纸和文件，必须由项目经理或其授权代表签名，否则均属无效。凡未经监理人按上述第1款规定签署的图纸和文件，均属无效。</w:t>
      </w:r>
    </w:p>
    <w:p>
      <w:pPr>
        <w:spacing w:line="440" w:lineRule="exact"/>
        <w:outlineLvl w:val="0"/>
        <w:rPr>
          <w:rFonts w:hint="eastAsia" w:ascii="宋体" w:hAnsi="宋体" w:cs="宋体"/>
          <w:b/>
          <w:szCs w:val="21"/>
        </w:rPr>
      </w:pPr>
      <w:bookmarkStart w:id="832" w:name="_Toc517383250"/>
      <w:bookmarkStart w:id="833" w:name="_Toc511564540"/>
      <w:r>
        <w:rPr>
          <w:rFonts w:hint="eastAsia" w:ascii="宋体" w:hAnsi="宋体" w:cs="宋体"/>
          <w:b/>
          <w:szCs w:val="21"/>
        </w:rPr>
        <w:t>1.5 发包人提供的材料和工程设备</w:t>
      </w:r>
      <w:bookmarkEnd w:id="832"/>
      <w:bookmarkEnd w:id="833"/>
    </w:p>
    <w:p>
      <w:pPr>
        <w:spacing w:line="440" w:lineRule="exact"/>
        <w:outlineLvl w:val="0"/>
        <w:rPr>
          <w:rFonts w:hint="eastAsia" w:ascii="宋体" w:hAnsi="宋体" w:cs="宋体"/>
          <w:szCs w:val="21"/>
        </w:rPr>
      </w:pPr>
      <w:bookmarkStart w:id="834" w:name="_Toc511564541"/>
      <w:bookmarkStart w:id="835" w:name="_Toc517383251"/>
      <w:r>
        <w:rPr>
          <w:rFonts w:hint="eastAsia" w:ascii="宋体" w:hAnsi="宋体" w:cs="宋体"/>
          <w:szCs w:val="21"/>
        </w:rPr>
        <w:t>1.5.1　发包人提供的材料</w:t>
      </w:r>
      <w:bookmarkEnd w:id="834"/>
      <w:bookmarkEnd w:id="835"/>
    </w:p>
    <w:p>
      <w:pPr>
        <w:spacing w:line="440" w:lineRule="exact"/>
        <w:ind w:firstLine="420" w:firstLineChars="200"/>
        <w:rPr>
          <w:rFonts w:hint="eastAsia" w:ascii="宋体" w:hAnsi="宋体" w:cs="宋体"/>
          <w:szCs w:val="21"/>
        </w:rPr>
      </w:pPr>
      <w:r>
        <w:rPr>
          <w:rFonts w:hint="eastAsia" w:ascii="宋体" w:hAnsi="宋体" w:cs="宋体"/>
          <w:szCs w:val="21"/>
        </w:rPr>
        <w:t>(1)材料供应计划</w:t>
      </w:r>
    </w:p>
    <w:p>
      <w:pPr>
        <w:spacing w:line="440" w:lineRule="exact"/>
        <w:ind w:firstLine="420" w:firstLineChars="200"/>
        <w:rPr>
          <w:rFonts w:hint="eastAsia" w:ascii="宋体" w:hAnsi="宋体" w:cs="宋体"/>
          <w:szCs w:val="21"/>
        </w:rPr>
      </w:pPr>
      <w:r>
        <w:rPr>
          <w:rFonts w:hint="eastAsia" w:ascii="宋体" w:hAnsi="宋体" w:cs="宋体"/>
          <w:szCs w:val="21"/>
        </w:rPr>
        <w:t>承包人应编制一份发包人供应材料的需用计划，提交监理人审批。承包人应在每年11月末的</w:t>
      </w:r>
      <w:r>
        <w:rPr>
          <w:rFonts w:hint="eastAsia" w:ascii="宋体" w:hAnsi="宋体" w:cs="宋体"/>
          <w:szCs w:val="21"/>
          <w:u w:val="single"/>
        </w:rPr>
        <w:t>　7　</w:t>
      </w:r>
      <w:r>
        <w:rPr>
          <w:rFonts w:hint="eastAsia" w:ascii="宋体" w:hAnsi="宋体" w:cs="宋体"/>
          <w:szCs w:val="21"/>
        </w:rPr>
        <w:t>天前、每季度末的</w:t>
      </w:r>
      <w:r>
        <w:rPr>
          <w:rFonts w:hint="eastAsia" w:ascii="宋体" w:hAnsi="宋体" w:cs="宋体"/>
          <w:szCs w:val="21"/>
          <w:u w:val="single"/>
        </w:rPr>
        <w:t>　7　</w:t>
      </w:r>
      <w:r>
        <w:rPr>
          <w:rFonts w:hint="eastAsia" w:ascii="宋体" w:hAnsi="宋体" w:cs="宋体"/>
          <w:szCs w:val="21"/>
        </w:rPr>
        <w:t>天前和每月末的</w:t>
      </w:r>
      <w:r>
        <w:rPr>
          <w:rFonts w:hint="eastAsia" w:ascii="宋体" w:hAnsi="宋体" w:cs="宋体"/>
          <w:szCs w:val="21"/>
          <w:u w:val="single"/>
        </w:rPr>
        <w:t>　7　</w:t>
      </w:r>
      <w:r>
        <w:rPr>
          <w:rFonts w:hint="eastAsia" w:ascii="宋体" w:hAnsi="宋体" w:cs="宋体"/>
          <w:szCs w:val="21"/>
        </w:rPr>
        <w:t>天前，向监理人提交下一年度、季度和下一月的材料需用计划。经监理人确认后作为发包人分期供应材料的依据。</w:t>
      </w:r>
    </w:p>
    <w:p>
      <w:pPr>
        <w:spacing w:line="440" w:lineRule="exact"/>
        <w:ind w:firstLine="420" w:firstLineChars="200"/>
        <w:rPr>
          <w:rFonts w:hint="eastAsia" w:ascii="宋体" w:hAnsi="宋体" w:cs="宋体"/>
          <w:szCs w:val="21"/>
        </w:rPr>
      </w:pPr>
      <w:r>
        <w:rPr>
          <w:rFonts w:hint="eastAsia" w:ascii="宋体" w:hAnsi="宋体" w:cs="宋体"/>
          <w:szCs w:val="21"/>
        </w:rPr>
        <w:t>(2)材料交货验收</w:t>
      </w:r>
    </w:p>
    <w:p>
      <w:pPr>
        <w:spacing w:line="440" w:lineRule="exact"/>
        <w:ind w:firstLine="420" w:firstLineChars="200"/>
        <w:rPr>
          <w:rFonts w:hint="eastAsia" w:ascii="宋体" w:hAnsi="宋体" w:cs="宋体"/>
          <w:szCs w:val="21"/>
        </w:rPr>
      </w:pPr>
      <w:r>
        <w:rPr>
          <w:rFonts w:hint="eastAsia" w:ascii="宋体" w:hAnsi="宋体" w:cs="宋体"/>
          <w:szCs w:val="21"/>
        </w:rPr>
        <w:t>承包人应按本合同约定，对发包人指定供货单位供应的材料质量、数量和品种进行检查、检验和验收，并及时将材料的检验结果提交监理人。若材料质量不合格，承包人有权拒绝使用，但必须向监理人提供能证明材料不合格的试验和检验资料。</w:t>
      </w:r>
    </w:p>
    <w:p>
      <w:pPr>
        <w:spacing w:line="440" w:lineRule="exact"/>
        <w:outlineLvl w:val="0"/>
        <w:rPr>
          <w:rFonts w:hint="eastAsia" w:ascii="宋体" w:hAnsi="宋体" w:cs="宋体"/>
          <w:szCs w:val="21"/>
        </w:rPr>
      </w:pPr>
      <w:bookmarkStart w:id="836" w:name="_Toc517383252"/>
      <w:bookmarkStart w:id="837" w:name="_Toc511564542"/>
      <w:r>
        <w:rPr>
          <w:rFonts w:hint="eastAsia" w:ascii="宋体" w:hAnsi="宋体" w:cs="宋体"/>
          <w:szCs w:val="21"/>
        </w:rPr>
        <w:t>1.5.2　发包人提供的工程设备</w:t>
      </w:r>
      <w:bookmarkEnd w:id="836"/>
      <w:bookmarkEnd w:id="837"/>
    </w:p>
    <w:p>
      <w:pPr>
        <w:spacing w:line="440" w:lineRule="exact"/>
        <w:ind w:firstLine="420" w:firstLineChars="200"/>
        <w:rPr>
          <w:rFonts w:hint="eastAsia" w:ascii="宋体" w:hAnsi="宋体" w:cs="宋体"/>
          <w:szCs w:val="21"/>
        </w:rPr>
      </w:pPr>
      <w:r>
        <w:rPr>
          <w:rFonts w:hint="eastAsia" w:ascii="宋体" w:hAnsi="宋体" w:cs="宋体"/>
          <w:szCs w:val="21"/>
        </w:rPr>
        <w:t>(1)承包人应提交一份满足工程设备安装进度的交货日期计划，提交监理人批准。监理人应在收到承包人提交件后的</w:t>
      </w:r>
      <w:r>
        <w:rPr>
          <w:rFonts w:hint="eastAsia" w:ascii="宋体" w:hAnsi="宋体" w:cs="宋体"/>
          <w:szCs w:val="21"/>
          <w:u w:val="single"/>
        </w:rPr>
        <w:t>　14　</w:t>
      </w:r>
      <w:r>
        <w:rPr>
          <w:rFonts w:hint="eastAsia" w:ascii="宋体" w:hAnsi="宋体" w:cs="宋体"/>
          <w:szCs w:val="21"/>
        </w:rPr>
        <w:t>天内批复承包人。</w:t>
      </w:r>
    </w:p>
    <w:p>
      <w:pPr>
        <w:spacing w:line="440" w:lineRule="exact"/>
        <w:ind w:firstLine="420" w:firstLineChars="200"/>
        <w:rPr>
          <w:rFonts w:hint="eastAsia" w:ascii="宋体" w:hAnsi="宋体" w:cs="宋体"/>
          <w:szCs w:val="21"/>
        </w:rPr>
      </w:pPr>
      <w:r>
        <w:rPr>
          <w:rFonts w:hint="eastAsia" w:ascii="宋体" w:hAnsi="宋体" w:cs="宋体"/>
          <w:szCs w:val="21"/>
        </w:rPr>
        <w:t>(2)由发包人提供承包人安装的工程设备，应按监理人批准的交货日期交货，承包人可允许发包人比原定计划提前</w:t>
      </w:r>
      <w:r>
        <w:rPr>
          <w:rFonts w:hint="eastAsia" w:ascii="宋体" w:hAnsi="宋体" w:cs="宋体"/>
          <w:szCs w:val="21"/>
          <w:u w:val="single"/>
        </w:rPr>
        <w:t>　56　</w:t>
      </w:r>
      <w:r>
        <w:rPr>
          <w:rFonts w:hint="eastAsia" w:ascii="宋体" w:hAnsi="宋体" w:cs="宋体"/>
          <w:szCs w:val="21"/>
        </w:rPr>
        <w:t>天内到货。提前超过</w:t>
      </w:r>
      <w:r>
        <w:rPr>
          <w:rFonts w:hint="eastAsia" w:ascii="宋体" w:hAnsi="宋体" w:cs="宋体"/>
          <w:szCs w:val="21"/>
          <w:u w:val="single"/>
        </w:rPr>
        <w:t>　56　</w:t>
      </w:r>
      <w:r>
        <w:rPr>
          <w:rFonts w:hint="eastAsia" w:ascii="宋体" w:hAnsi="宋体" w:cs="宋体"/>
          <w:szCs w:val="21"/>
        </w:rPr>
        <w:t>天，应由发包人支付提前到货的仓管费用。</w:t>
      </w:r>
    </w:p>
    <w:p>
      <w:pPr>
        <w:spacing w:line="440" w:lineRule="exact"/>
        <w:ind w:firstLine="420" w:firstLineChars="200"/>
        <w:rPr>
          <w:rFonts w:hint="eastAsia" w:ascii="宋体" w:hAnsi="宋体" w:cs="宋体"/>
          <w:szCs w:val="21"/>
        </w:rPr>
      </w:pPr>
      <w:r>
        <w:rPr>
          <w:rFonts w:hint="eastAsia" w:ascii="宋体" w:hAnsi="宋体" w:cs="宋体"/>
          <w:szCs w:val="21"/>
        </w:rPr>
        <w:t>(3)监理人应在设备到达卸货地点的</w:t>
      </w:r>
      <w:r>
        <w:rPr>
          <w:rFonts w:hint="eastAsia" w:ascii="宋体" w:hAnsi="宋体" w:cs="宋体"/>
          <w:szCs w:val="21"/>
          <w:u w:val="single"/>
        </w:rPr>
        <w:t>　48　</w:t>
      </w:r>
      <w:r>
        <w:rPr>
          <w:rFonts w:hint="eastAsia" w:ascii="宋体" w:hAnsi="宋体" w:cs="宋体"/>
          <w:szCs w:val="21"/>
        </w:rPr>
        <w:t>小时前通知承包人，承包人应在接到监理人通知(到货后)</w:t>
      </w:r>
      <w:r>
        <w:rPr>
          <w:rFonts w:hint="eastAsia" w:ascii="宋体" w:hAnsi="宋体" w:cs="宋体"/>
          <w:szCs w:val="21"/>
          <w:u w:val="single"/>
        </w:rPr>
        <w:t>　48　</w:t>
      </w:r>
      <w:r>
        <w:rPr>
          <w:rFonts w:hint="eastAsia" w:ascii="宋体" w:hAnsi="宋体" w:cs="宋体"/>
          <w:szCs w:val="21"/>
        </w:rPr>
        <w:t>小时内卸货，否则，应由承包人支付卸货地点的逾期保管费用。</w:t>
      </w:r>
    </w:p>
    <w:p>
      <w:pPr>
        <w:spacing w:line="440" w:lineRule="exact"/>
        <w:ind w:firstLine="420" w:firstLineChars="200"/>
        <w:rPr>
          <w:rFonts w:hint="eastAsia" w:ascii="宋体" w:hAnsi="宋体" w:cs="宋体"/>
          <w:szCs w:val="21"/>
        </w:rPr>
      </w:pPr>
      <w:r>
        <w:rPr>
          <w:rFonts w:hint="eastAsia" w:ascii="宋体" w:hAnsi="宋体" w:cs="宋体"/>
          <w:szCs w:val="21"/>
        </w:rPr>
        <w:t>(4)由于施工安装进度延误，修订了合同进度计划，承包人可根据监理人批准的修订进度计划，要求变更工程设备的交货日期，但由于承包人原因造成进度计划延误而变更交货日期时，承包人应自费保管按原定交货日期到达的工程设备。由于发包人要求变更交货日期，影响承包人的安装工作进度时，承包人有权要求延长工期和(或)要求发包人支付增加的费用。</w:t>
      </w:r>
    </w:p>
    <w:p>
      <w:pPr>
        <w:spacing w:line="440" w:lineRule="exact"/>
        <w:ind w:firstLine="420" w:firstLineChars="200"/>
        <w:rPr>
          <w:rFonts w:hint="eastAsia" w:ascii="宋体" w:hAnsi="宋体" w:cs="宋体"/>
          <w:szCs w:val="21"/>
        </w:rPr>
      </w:pPr>
      <w:r>
        <w:rPr>
          <w:rFonts w:hint="eastAsia" w:ascii="宋体" w:hAnsi="宋体" w:cs="宋体"/>
          <w:szCs w:val="21"/>
        </w:rPr>
        <w:t>(5)工程设备的交货验收：</w:t>
      </w:r>
    </w:p>
    <w:p>
      <w:pPr>
        <w:spacing w:line="440" w:lineRule="exact"/>
        <w:ind w:firstLine="420" w:firstLineChars="200"/>
        <w:rPr>
          <w:rFonts w:hint="eastAsia" w:ascii="宋体" w:hAnsi="宋体" w:cs="宋体"/>
          <w:szCs w:val="21"/>
        </w:rPr>
      </w:pPr>
      <w:r>
        <w:rPr>
          <w:rFonts w:hint="eastAsia" w:ascii="宋体" w:hAnsi="宋体" w:cs="宋体"/>
          <w:szCs w:val="21"/>
        </w:rPr>
        <w:t>1)由发包人提供的工程设备，应由发包人、监理人与承包人共同进行交货验收。</w:t>
      </w:r>
    </w:p>
    <w:p>
      <w:pPr>
        <w:spacing w:line="440" w:lineRule="exact"/>
        <w:ind w:firstLine="420" w:firstLineChars="200"/>
        <w:rPr>
          <w:rFonts w:hint="eastAsia" w:ascii="宋体" w:hAnsi="宋体" w:cs="宋体"/>
          <w:szCs w:val="21"/>
        </w:rPr>
      </w:pPr>
      <w:r>
        <w:rPr>
          <w:rFonts w:hint="eastAsia" w:ascii="宋体" w:hAnsi="宋体" w:cs="宋体"/>
          <w:szCs w:val="21"/>
        </w:rPr>
        <w:t>2)若合同约定由承包人直接在制造厂提货，则应由发包人、监理人与承包人共同参加出厂检验后，由双方办理正式移交手续，并经承包人验点接收后自行发运至工地。承包人应对工程设备在运输中造成的损失和损坏承担全部责任。</w:t>
      </w:r>
    </w:p>
    <w:p>
      <w:pPr>
        <w:spacing w:line="440" w:lineRule="exact"/>
        <w:ind w:firstLine="420" w:firstLineChars="200"/>
        <w:rPr>
          <w:rFonts w:hint="eastAsia" w:ascii="宋体" w:hAnsi="宋体" w:cs="宋体"/>
          <w:szCs w:val="21"/>
        </w:rPr>
      </w:pPr>
      <w:r>
        <w:rPr>
          <w:rFonts w:hint="eastAsia" w:ascii="宋体" w:hAnsi="宋体" w:cs="宋体"/>
          <w:szCs w:val="21"/>
        </w:rPr>
        <w:t>3)若合同约定由发包人(或供货商)发运至工地交货，则应由发包人、供货商代表、监理人与承包人共同进行现场开箱检验，并经承包人验收清点后办理正式移交手续。此时，应由发包人对工程设备在运输中造成的损失和损坏承担责任。从设备开箱验收完毕起，承包人应对工程设备的维护和保管承担责任。</w:t>
      </w:r>
    </w:p>
    <w:p>
      <w:pPr>
        <w:spacing w:line="440" w:lineRule="exact"/>
        <w:outlineLvl w:val="0"/>
        <w:rPr>
          <w:rFonts w:hint="eastAsia" w:ascii="宋体" w:hAnsi="宋体" w:cs="宋体"/>
          <w:b/>
          <w:szCs w:val="21"/>
        </w:rPr>
      </w:pPr>
      <w:bookmarkStart w:id="838" w:name="_Toc517383253"/>
      <w:bookmarkStart w:id="839" w:name="_Toc511564543"/>
      <w:r>
        <w:rPr>
          <w:rFonts w:hint="eastAsia" w:ascii="宋体" w:hAnsi="宋体" w:cs="宋体"/>
          <w:b/>
          <w:szCs w:val="21"/>
        </w:rPr>
        <w:t>1.6　承包人提供的材料和设备</w:t>
      </w:r>
      <w:bookmarkEnd w:id="838"/>
      <w:bookmarkEnd w:id="839"/>
    </w:p>
    <w:p>
      <w:pPr>
        <w:spacing w:line="440" w:lineRule="exact"/>
        <w:outlineLvl w:val="0"/>
        <w:rPr>
          <w:rFonts w:hint="eastAsia" w:ascii="宋体" w:hAnsi="宋体" w:cs="宋体"/>
          <w:szCs w:val="21"/>
        </w:rPr>
      </w:pPr>
      <w:bookmarkStart w:id="840" w:name="_Toc517383254"/>
      <w:bookmarkStart w:id="841" w:name="_Toc511564544"/>
      <w:r>
        <w:rPr>
          <w:rFonts w:hint="eastAsia" w:ascii="宋体" w:hAnsi="宋体" w:cs="宋体"/>
          <w:szCs w:val="21"/>
        </w:rPr>
        <w:t>1.6.1　承包人提供的材料</w:t>
      </w:r>
      <w:bookmarkEnd w:id="840"/>
      <w:bookmarkEnd w:id="841"/>
    </w:p>
    <w:p>
      <w:pPr>
        <w:spacing w:line="440" w:lineRule="exact"/>
        <w:ind w:firstLine="420" w:firstLineChars="200"/>
        <w:rPr>
          <w:rFonts w:hint="eastAsia" w:ascii="宋体" w:hAnsi="宋体" w:cs="宋体"/>
          <w:szCs w:val="21"/>
        </w:rPr>
      </w:pPr>
      <w:r>
        <w:rPr>
          <w:rFonts w:hint="eastAsia" w:ascii="宋体" w:hAnsi="宋体" w:cs="宋体"/>
          <w:szCs w:val="21"/>
        </w:rPr>
        <w:t>(1)承包人提供的材料应由监理人按以下程序进行检查和验收：</w:t>
      </w:r>
    </w:p>
    <w:p>
      <w:pPr>
        <w:spacing w:line="440" w:lineRule="exact"/>
        <w:ind w:firstLine="420" w:firstLineChars="200"/>
        <w:rPr>
          <w:rFonts w:hint="eastAsia" w:ascii="宋体" w:hAnsi="宋体" w:cs="宋体"/>
          <w:szCs w:val="21"/>
        </w:rPr>
      </w:pPr>
      <w:r>
        <w:rPr>
          <w:rFonts w:hint="eastAsia" w:ascii="宋体" w:hAnsi="宋体" w:cs="宋体"/>
          <w:szCs w:val="21"/>
        </w:rPr>
        <w:t>1)查验证件：承包人应按供货合同的要求查验每批材料的发货单、计量单、装箱材料的合格证书、化验单以及其它有关图纸、文件和证件，并应将上述图纸，以及文件、证件的复印件提交监理人；</w:t>
      </w:r>
    </w:p>
    <w:p>
      <w:pPr>
        <w:spacing w:line="440" w:lineRule="exact"/>
        <w:ind w:firstLine="420" w:firstLineChars="200"/>
        <w:rPr>
          <w:rFonts w:hint="eastAsia" w:ascii="宋体" w:hAnsi="宋体" w:cs="宋体"/>
          <w:szCs w:val="21"/>
        </w:rPr>
      </w:pPr>
      <w:r>
        <w:rPr>
          <w:rFonts w:hint="eastAsia" w:ascii="宋体" w:hAnsi="宋体" w:cs="宋体"/>
          <w:szCs w:val="21"/>
        </w:rPr>
        <w:t>2)抽样检验：承包人应会同监理人按本合同约定和技术条款各章的有关规定进行材料抽样检验，检验结果应提交监理人。并对每批材料是否合格作出鉴定；</w:t>
      </w:r>
    </w:p>
    <w:p>
      <w:pPr>
        <w:spacing w:line="440" w:lineRule="exact"/>
        <w:ind w:firstLine="420" w:firstLineChars="200"/>
        <w:rPr>
          <w:rFonts w:hint="eastAsia" w:ascii="宋体" w:hAnsi="宋体" w:cs="宋体"/>
          <w:szCs w:val="21"/>
        </w:rPr>
      </w:pPr>
      <w:r>
        <w:rPr>
          <w:rFonts w:hint="eastAsia" w:ascii="宋体" w:hAnsi="宋体" w:cs="宋体"/>
          <w:szCs w:val="21"/>
        </w:rPr>
        <w:t>3)材料验收：经鉴定合格的材料方能验收，承包人应与监理人共同核对每批材料的品名、规格、数量，并作好记录，共同验点入库。</w:t>
      </w:r>
    </w:p>
    <w:p>
      <w:pPr>
        <w:spacing w:line="440" w:lineRule="exact"/>
        <w:ind w:firstLine="420" w:firstLineChars="200"/>
        <w:rPr>
          <w:rFonts w:hint="eastAsia" w:ascii="宋体" w:hAnsi="宋体" w:cs="宋体"/>
          <w:szCs w:val="21"/>
        </w:rPr>
      </w:pPr>
      <w:r>
        <w:rPr>
          <w:rFonts w:hint="eastAsia" w:ascii="宋体" w:hAnsi="宋体" w:cs="宋体"/>
          <w:szCs w:val="21"/>
        </w:rPr>
        <w:t>(2)不合格材料的处理</w:t>
      </w:r>
    </w:p>
    <w:p>
      <w:pPr>
        <w:spacing w:line="440" w:lineRule="exact"/>
        <w:ind w:firstLine="420" w:firstLineChars="200"/>
        <w:rPr>
          <w:rFonts w:hint="eastAsia" w:ascii="宋体" w:hAnsi="宋体" w:cs="宋体"/>
          <w:szCs w:val="21"/>
        </w:rPr>
      </w:pPr>
      <w:r>
        <w:rPr>
          <w:rFonts w:hint="eastAsia" w:ascii="宋体" w:hAnsi="宋体" w:cs="宋体"/>
          <w:szCs w:val="21"/>
        </w:rPr>
        <w:t>经监理人查库发现的不合格材料，应禁止使用，并清除出场。承包人违约使用了不合格材料，应按本合同约定予以清除或返工至合格为止。</w:t>
      </w:r>
    </w:p>
    <w:p>
      <w:pPr>
        <w:spacing w:line="440" w:lineRule="exact"/>
        <w:ind w:firstLine="420" w:firstLineChars="200"/>
        <w:rPr>
          <w:rFonts w:hint="eastAsia" w:ascii="宋体" w:hAnsi="宋体" w:cs="宋体"/>
          <w:szCs w:val="21"/>
        </w:rPr>
      </w:pPr>
      <w:r>
        <w:rPr>
          <w:rFonts w:hint="eastAsia" w:ascii="宋体" w:hAnsi="宋体" w:cs="宋体"/>
          <w:szCs w:val="21"/>
        </w:rPr>
        <w:t>(3)代用材料</w:t>
      </w:r>
    </w:p>
    <w:p>
      <w:pPr>
        <w:spacing w:line="440" w:lineRule="exact"/>
        <w:ind w:firstLine="420" w:firstLineChars="200"/>
        <w:rPr>
          <w:rFonts w:hint="eastAsia" w:ascii="宋体" w:hAnsi="宋体" w:cs="宋体"/>
          <w:szCs w:val="21"/>
        </w:rPr>
      </w:pPr>
      <w:r>
        <w:rPr>
          <w:rFonts w:hint="eastAsia" w:ascii="宋体" w:hAnsi="宋体" w:cs="宋体"/>
          <w:szCs w:val="21"/>
        </w:rPr>
        <w:t>承包人申请代用材料，应将代用材料的技术标准、质量证明书和试验报告提交监理人。经监理人批准后，才能采用代用材料。</w:t>
      </w:r>
    </w:p>
    <w:p>
      <w:pPr>
        <w:spacing w:line="440" w:lineRule="exact"/>
        <w:outlineLvl w:val="0"/>
        <w:rPr>
          <w:rFonts w:hint="eastAsia" w:ascii="宋体" w:hAnsi="宋体" w:cs="宋体"/>
          <w:szCs w:val="21"/>
        </w:rPr>
      </w:pPr>
      <w:bookmarkStart w:id="842" w:name="_Toc511564545"/>
      <w:bookmarkStart w:id="843" w:name="_Toc517383255"/>
      <w:r>
        <w:rPr>
          <w:rFonts w:hint="eastAsia" w:ascii="宋体" w:hAnsi="宋体" w:cs="宋体"/>
          <w:szCs w:val="21"/>
        </w:rPr>
        <w:t>1.6.2　承包人提供的工程设备</w:t>
      </w:r>
      <w:bookmarkEnd w:id="842"/>
      <w:bookmarkEnd w:id="843"/>
    </w:p>
    <w:p>
      <w:pPr>
        <w:spacing w:line="440" w:lineRule="exact"/>
        <w:ind w:firstLine="420" w:firstLineChars="200"/>
        <w:rPr>
          <w:rFonts w:hint="eastAsia" w:ascii="宋体" w:hAnsi="宋体" w:cs="宋体"/>
          <w:szCs w:val="21"/>
        </w:rPr>
      </w:pPr>
      <w:r>
        <w:rPr>
          <w:rFonts w:hint="eastAsia" w:ascii="宋体" w:hAnsi="宋体" w:cs="宋体"/>
          <w:szCs w:val="21"/>
        </w:rPr>
        <w:t>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责任。</w:t>
      </w:r>
    </w:p>
    <w:p>
      <w:pPr>
        <w:spacing w:line="440" w:lineRule="exact"/>
        <w:outlineLvl w:val="0"/>
        <w:rPr>
          <w:rFonts w:hint="eastAsia" w:ascii="宋体" w:hAnsi="宋体" w:cs="宋体"/>
          <w:szCs w:val="21"/>
        </w:rPr>
      </w:pPr>
      <w:bookmarkStart w:id="844" w:name="_Toc517383256"/>
      <w:bookmarkStart w:id="845" w:name="_Toc511564546"/>
      <w:r>
        <w:rPr>
          <w:rFonts w:hint="eastAsia" w:ascii="宋体" w:hAnsi="宋体" w:cs="宋体"/>
          <w:szCs w:val="21"/>
        </w:rPr>
        <w:t>1.6.3　承包人施工设备</w:t>
      </w:r>
      <w:bookmarkEnd w:id="844"/>
      <w:bookmarkEnd w:id="845"/>
    </w:p>
    <w:p>
      <w:pPr>
        <w:spacing w:line="440" w:lineRule="exact"/>
        <w:ind w:firstLine="420" w:firstLineChars="200"/>
        <w:rPr>
          <w:rFonts w:hint="eastAsia" w:ascii="宋体" w:hAnsi="宋体" w:cs="宋体"/>
          <w:szCs w:val="21"/>
        </w:rPr>
      </w:pPr>
      <w:r>
        <w:rPr>
          <w:rFonts w:hint="eastAsia" w:ascii="宋体" w:hAnsi="宋体" w:cs="宋体"/>
          <w:szCs w:val="21"/>
        </w:rPr>
        <w:t>(1)承包人应在签署合同协议书后</w:t>
      </w:r>
      <w:r>
        <w:rPr>
          <w:rFonts w:hint="eastAsia" w:ascii="宋体" w:hAnsi="宋体" w:cs="宋体"/>
          <w:szCs w:val="21"/>
          <w:u w:val="single"/>
        </w:rPr>
        <w:t>　14　</w:t>
      </w:r>
      <w:r>
        <w:rPr>
          <w:rFonts w:hint="eastAsia" w:ascii="宋体" w:hAnsi="宋体" w:cs="宋体"/>
          <w:szCs w:val="21"/>
        </w:rPr>
        <w:t>天内，提交一份为完成本合同各项工作所需的施工设备清单，提交监理人批准。施工设备清单的内容应包括：</w:t>
      </w:r>
    </w:p>
    <w:p>
      <w:pPr>
        <w:spacing w:line="440" w:lineRule="exact"/>
        <w:ind w:firstLine="420" w:firstLineChars="200"/>
        <w:rPr>
          <w:rFonts w:hint="eastAsia" w:ascii="宋体" w:hAnsi="宋体" w:cs="宋体"/>
          <w:szCs w:val="21"/>
        </w:rPr>
      </w:pPr>
      <w:r>
        <w:rPr>
          <w:rFonts w:hint="eastAsia" w:ascii="宋体" w:hAnsi="宋体" w:cs="宋体"/>
          <w:szCs w:val="21"/>
        </w:rPr>
        <w:t>1)新购设备的生产厂家、品名、型号、规格、主要性能、数量和预计进场时间，承包人应向监理人提交新购置主要施工设备的订货协议复印件；</w:t>
      </w:r>
    </w:p>
    <w:p>
      <w:pPr>
        <w:spacing w:line="440" w:lineRule="exact"/>
        <w:ind w:firstLine="420" w:firstLineChars="200"/>
        <w:rPr>
          <w:rFonts w:hint="eastAsia" w:ascii="宋体" w:hAnsi="宋体" w:cs="宋体"/>
          <w:szCs w:val="21"/>
        </w:rPr>
      </w:pPr>
      <w:r>
        <w:rPr>
          <w:rFonts w:hint="eastAsia" w:ascii="宋体" w:hAnsi="宋体" w:cs="宋体"/>
          <w:szCs w:val="21"/>
        </w:rPr>
        <w:t>2)旧施工设备的购置时间、残值、运行和检修记录以及维修保养证书等；</w:t>
      </w:r>
    </w:p>
    <w:p>
      <w:pPr>
        <w:spacing w:line="440" w:lineRule="exact"/>
        <w:ind w:firstLine="420" w:firstLineChars="200"/>
        <w:rPr>
          <w:rFonts w:hint="eastAsia" w:ascii="宋体" w:hAnsi="宋体" w:cs="宋体"/>
          <w:szCs w:val="21"/>
        </w:rPr>
      </w:pPr>
      <w:r>
        <w:rPr>
          <w:rFonts w:hint="eastAsia" w:ascii="宋体" w:hAnsi="宋体" w:cs="宋体"/>
          <w:szCs w:val="21"/>
        </w:rPr>
        <w:t>3)租赁设备的购置时间、租赁期限、租赁价格、运行检修记录以及维修保养证书等。</w:t>
      </w:r>
    </w:p>
    <w:p>
      <w:pPr>
        <w:spacing w:line="440" w:lineRule="exact"/>
        <w:ind w:firstLine="420" w:firstLineChars="200"/>
        <w:rPr>
          <w:rFonts w:hint="eastAsia" w:ascii="宋体" w:hAnsi="宋体" w:cs="宋体"/>
          <w:szCs w:val="21"/>
        </w:rPr>
      </w:pPr>
      <w:r>
        <w:rPr>
          <w:rFonts w:hint="eastAsia" w:ascii="宋体" w:hAnsi="宋体" w:cs="宋体"/>
          <w:szCs w:val="21"/>
        </w:rPr>
        <w:t>(2)承包人配置的旧施工设备(包括租赁的旧设备)，应由监理人进行检查，并须进行试运行，确认其符合使用要求后方可投入使用。</w:t>
      </w:r>
    </w:p>
    <w:p>
      <w:pPr>
        <w:spacing w:line="440" w:lineRule="exact"/>
        <w:ind w:firstLine="420" w:firstLineChars="200"/>
        <w:rPr>
          <w:rFonts w:hint="eastAsia" w:ascii="宋体" w:hAnsi="宋体" w:cs="宋体"/>
          <w:szCs w:val="21"/>
        </w:rPr>
      </w:pPr>
      <w:r>
        <w:rPr>
          <w:rFonts w:hint="eastAsia" w:ascii="宋体" w:hAnsi="宋体" w:cs="宋体"/>
          <w:szCs w:val="21"/>
        </w:rPr>
        <w:t>(3)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spacing w:line="440" w:lineRule="exact"/>
        <w:outlineLvl w:val="0"/>
        <w:rPr>
          <w:rFonts w:hint="eastAsia" w:ascii="宋体" w:hAnsi="宋体" w:cs="宋体"/>
          <w:szCs w:val="21"/>
        </w:rPr>
      </w:pPr>
      <w:bookmarkStart w:id="846" w:name="_Toc517383257"/>
      <w:bookmarkStart w:id="847" w:name="_Toc511564547"/>
      <w:r>
        <w:rPr>
          <w:rFonts w:hint="eastAsia" w:ascii="宋体" w:hAnsi="宋体" w:cs="宋体"/>
          <w:szCs w:val="21"/>
        </w:rPr>
        <w:t>1.6.4　不合格的材料和工程设备的处理</w:t>
      </w:r>
      <w:bookmarkEnd w:id="846"/>
      <w:bookmarkEnd w:id="847"/>
    </w:p>
    <w:p>
      <w:pPr>
        <w:spacing w:line="440" w:lineRule="exact"/>
        <w:ind w:firstLine="420" w:firstLineChars="200"/>
        <w:rPr>
          <w:rFonts w:hint="eastAsia" w:ascii="宋体" w:hAnsi="宋体" w:cs="宋体"/>
          <w:szCs w:val="21"/>
        </w:rPr>
      </w:pPr>
      <w:r>
        <w:rPr>
          <w:rFonts w:hint="eastAsia" w:ascii="宋体" w:hAnsi="宋体" w:cs="宋体"/>
          <w:szCs w:val="21"/>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pPr>
        <w:spacing w:line="440" w:lineRule="exact"/>
        <w:outlineLvl w:val="0"/>
        <w:rPr>
          <w:rFonts w:hint="eastAsia" w:ascii="宋体" w:hAnsi="宋体" w:cs="宋体"/>
          <w:b/>
          <w:szCs w:val="21"/>
        </w:rPr>
      </w:pPr>
      <w:bookmarkStart w:id="848" w:name="_Toc511564548"/>
      <w:bookmarkStart w:id="849" w:name="_Toc517383258"/>
      <w:r>
        <w:rPr>
          <w:rFonts w:hint="eastAsia" w:ascii="宋体" w:hAnsi="宋体" w:cs="宋体"/>
          <w:b/>
          <w:szCs w:val="21"/>
        </w:rPr>
        <w:t>1.7 进度计划的实施</w:t>
      </w:r>
      <w:bookmarkEnd w:id="848"/>
      <w:bookmarkEnd w:id="849"/>
    </w:p>
    <w:p>
      <w:pPr>
        <w:spacing w:line="440" w:lineRule="exact"/>
        <w:outlineLvl w:val="0"/>
        <w:rPr>
          <w:rFonts w:hint="eastAsia" w:ascii="宋体" w:hAnsi="宋体" w:cs="宋体"/>
          <w:szCs w:val="21"/>
        </w:rPr>
      </w:pPr>
      <w:bookmarkStart w:id="850" w:name="_Toc517383259"/>
      <w:bookmarkStart w:id="851" w:name="_Toc511564549"/>
      <w:r>
        <w:rPr>
          <w:rFonts w:hint="eastAsia" w:ascii="宋体" w:hAnsi="宋体" w:cs="宋体"/>
          <w:szCs w:val="21"/>
        </w:rPr>
        <w:t>1.7.1　施工总进度实施措施</w:t>
      </w:r>
      <w:bookmarkEnd w:id="850"/>
      <w:bookmarkEnd w:id="851"/>
    </w:p>
    <w:p>
      <w:pPr>
        <w:spacing w:line="440" w:lineRule="exact"/>
        <w:ind w:firstLine="420" w:firstLineChars="200"/>
        <w:rPr>
          <w:rFonts w:hint="eastAsia" w:ascii="宋体" w:hAnsi="宋体" w:cs="宋体"/>
          <w:szCs w:val="21"/>
        </w:rPr>
      </w:pPr>
      <w:r>
        <w:rPr>
          <w:rFonts w:hint="eastAsia" w:ascii="宋体" w:hAnsi="宋体" w:cs="宋体"/>
          <w:szCs w:val="21"/>
        </w:rPr>
        <w:t>承包人应按监理人根据本章第1.4.3条要求批准的施工总进度实施计划，编制详细的施工总进度计划的实施措施，提交监理人批准、实施措施应说明以下内容：</w:t>
      </w:r>
    </w:p>
    <w:p>
      <w:pPr>
        <w:spacing w:line="440" w:lineRule="exact"/>
        <w:ind w:firstLine="420" w:firstLineChars="200"/>
        <w:rPr>
          <w:rFonts w:hint="eastAsia" w:ascii="宋体" w:hAnsi="宋体" w:cs="宋体"/>
          <w:szCs w:val="21"/>
        </w:rPr>
      </w:pPr>
      <w:r>
        <w:rPr>
          <w:rFonts w:hint="eastAsia" w:ascii="宋体" w:hAnsi="宋体" w:cs="宋体"/>
          <w:szCs w:val="21"/>
        </w:rPr>
        <w:t>(1)各永久工程和临时工程项目按期完成的年、月工程量计划和各年度形象面貌。</w:t>
      </w:r>
    </w:p>
    <w:p>
      <w:pPr>
        <w:spacing w:line="440" w:lineRule="exact"/>
        <w:ind w:firstLine="420" w:firstLineChars="200"/>
        <w:rPr>
          <w:rFonts w:hint="eastAsia" w:ascii="宋体" w:hAnsi="宋体" w:cs="宋体"/>
          <w:szCs w:val="21"/>
        </w:rPr>
      </w:pPr>
      <w:r>
        <w:rPr>
          <w:rFonts w:hint="eastAsia" w:ascii="宋体" w:hAnsi="宋体" w:cs="宋体"/>
          <w:szCs w:val="21"/>
        </w:rPr>
        <w:t>(2)主要物资材料(如钢材、钢筋、木材、水泥、粉煤灰、外加剂、砂石骨料、土料和石料、用水和用电等)使用计划及主要材料订货安排。</w:t>
      </w:r>
    </w:p>
    <w:p>
      <w:pPr>
        <w:spacing w:line="440" w:lineRule="exact"/>
        <w:ind w:firstLine="420" w:firstLineChars="200"/>
        <w:rPr>
          <w:rFonts w:hint="eastAsia" w:ascii="宋体" w:hAnsi="宋体" w:cs="宋体"/>
          <w:szCs w:val="21"/>
        </w:rPr>
      </w:pPr>
      <w:r>
        <w:rPr>
          <w:rFonts w:hint="eastAsia" w:ascii="宋体" w:hAnsi="宋体" w:cs="宋体"/>
          <w:szCs w:val="21"/>
        </w:rPr>
        <w:t>(3)施工现场各类人员配备和劳务计划。</w:t>
      </w:r>
    </w:p>
    <w:p>
      <w:pPr>
        <w:spacing w:line="440" w:lineRule="exact"/>
        <w:ind w:firstLine="420" w:firstLineChars="200"/>
        <w:rPr>
          <w:rFonts w:hint="eastAsia" w:ascii="宋体" w:hAnsi="宋体" w:cs="宋体"/>
          <w:szCs w:val="21"/>
        </w:rPr>
      </w:pPr>
      <w:r>
        <w:rPr>
          <w:rFonts w:hint="eastAsia" w:ascii="宋体" w:hAnsi="宋体" w:cs="宋体"/>
          <w:szCs w:val="21"/>
        </w:rPr>
        <w:t>(4)工程设备的订货、交货计划。</w:t>
      </w:r>
    </w:p>
    <w:p>
      <w:pPr>
        <w:spacing w:line="440" w:lineRule="exact"/>
        <w:ind w:firstLine="420" w:firstLineChars="200"/>
        <w:rPr>
          <w:rFonts w:hint="eastAsia" w:ascii="宋体" w:hAnsi="宋体" w:cs="宋体"/>
          <w:szCs w:val="21"/>
        </w:rPr>
      </w:pPr>
      <w:r>
        <w:rPr>
          <w:rFonts w:hint="eastAsia" w:ascii="宋体" w:hAnsi="宋体" w:cs="宋体"/>
          <w:szCs w:val="21"/>
        </w:rPr>
        <w:t>(5)其它说明。</w:t>
      </w:r>
    </w:p>
    <w:p>
      <w:pPr>
        <w:spacing w:line="440" w:lineRule="exact"/>
        <w:outlineLvl w:val="0"/>
        <w:rPr>
          <w:rFonts w:hint="eastAsia" w:ascii="宋体" w:hAnsi="宋体" w:cs="宋体"/>
          <w:szCs w:val="21"/>
        </w:rPr>
      </w:pPr>
      <w:bookmarkStart w:id="852" w:name="_Toc517383260"/>
      <w:bookmarkStart w:id="853" w:name="_Toc511564550"/>
      <w:r>
        <w:rPr>
          <w:rFonts w:hint="eastAsia" w:ascii="宋体" w:hAnsi="宋体" w:cs="宋体"/>
          <w:szCs w:val="21"/>
        </w:rPr>
        <w:t>1.7.2　季、月进度计划</w:t>
      </w:r>
      <w:bookmarkEnd w:id="852"/>
      <w:bookmarkEnd w:id="853"/>
    </w:p>
    <w:p>
      <w:pPr>
        <w:spacing w:line="440" w:lineRule="exact"/>
        <w:ind w:firstLine="420" w:firstLineChars="200"/>
        <w:rPr>
          <w:rFonts w:hint="eastAsia" w:ascii="宋体" w:hAnsi="宋体" w:cs="宋体"/>
          <w:szCs w:val="21"/>
        </w:rPr>
      </w:pPr>
      <w:r>
        <w:rPr>
          <w:rFonts w:hint="eastAsia" w:ascii="宋体" w:hAnsi="宋体" w:cs="宋体"/>
          <w:szCs w:val="21"/>
        </w:rPr>
        <w:t>监理人认为有必要时，可要求承包人向监理人提交季、月进度计划，其内容包括：</w:t>
      </w:r>
    </w:p>
    <w:p>
      <w:pPr>
        <w:spacing w:line="440" w:lineRule="exact"/>
        <w:ind w:firstLine="420" w:firstLineChars="200"/>
        <w:rPr>
          <w:rFonts w:hint="eastAsia" w:ascii="宋体" w:hAnsi="宋体" w:cs="宋体"/>
          <w:szCs w:val="21"/>
        </w:rPr>
      </w:pPr>
      <w:r>
        <w:rPr>
          <w:rFonts w:hint="eastAsia" w:ascii="宋体" w:hAnsi="宋体" w:cs="宋体"/>
          <w:szCs w:val="21"/>
        </w:rPr>
        <w:t>(1)季、月工程量及其施工面貌。</w:t>
      </w:r>
    </w:p>
    <w:p>
      <w:pPr>
        <w:spacing w:line="440" w:lineRule="exact"/>
        <w:ind w:firstLine="420" w:firstLineChars="200"/>
        <w:rPr>
          <w:rFonts w:hint="eastAsia" w:ascii="宋体" w:hAnsi="宋体" w:cs="宋体"/>
          <w:szCs w:val="21"/>
        </w:rPr>
      </w:pPr>
      <w:r>
        <w:rPr>
          <w:rFonts w:hint="eastAsia" w:ascii="宋体" w:hAnsi="宋体" w:cs="宋体"/>
          <w:szCs w:val="21"/>
        </w:rPr>
        <w:t>(2)该季、月所需施工设备数量及材料用量。</w:t>
      </w:r>
    </w:p>
    <w:p>
      <w:pPr>
        <w:spacing w:line="440" w:lineRule="exact"/>
        <w:ind w:firstLine="420" w:firstLineChars="200"/>
        <w:rPr>
          <w:rFonts w:hint="eastAsia" w:ascii="宋体" w:hAnsi="宋体" w:cs="宋体"/>
          <w:szCs w:val="21"/>
        </w:rPr>
      </w:pPr>
      <w:r>
        <w:rPr>
          <w:rFonts w:hint="eastAsia" w:ascii="宋体" w:hAnsi="宋体" w:cs="宋体"/>
          <w:szCs w:val="21"/>
        </w:rPr>
        <w:t>(3)该季、月发包人应提供的施工图纸目录等。</w:t>
      </w:r>
    </w:p>
    <w:p>
      <w:pPr>
        <w:spacing w:line="440" w:lineRule="exact"/>
        <w:outlineLvl w:val="0"/>
        <w:rPr>
          <w:rFonts w:hint="eastAsia" w:ascii="宋体" w:hAnsi="宋体" w:cs="宋体"/>
          <w:szCs w:val="21"/>
        </w:rPr>
      </w:pPr>
      <w:bookmarkStart w:id="854" w:name="_Toc511564551"/>
      <w:bookmarkStart w:id="855" w:name="_Toc517383261"/>
      <w:r>
        <w:rPr>
          <w:rFonts w:hint="eastAsia" w:ascii="宋体" w:hAnsi="宋体" w:cs="宋体"/>
          <w:szCs w:val="21"/>
        </w:rPr>
        <w:t>1.7.3　月、周进度报告</w:t>
      </w:r>
      <w:bookmarkEnd w:id="854"/>
      <w:bookmarkEnd w:id="855"/>
    </w:p>
    <w:p>
      <w:pPr>
        <w:spacing w:line="440" w:lineRule="exact"/>
        <w:ind w:firstLine="420" w:firstLineChars="200"/>
        <w:rPr>
          <w:rFonts w:hint="eastAsia" w:ascii="宋体" w:hAnsi="宋体" w:cs="宋体"/>
          <w:szCs w:val="21"/>
        </w:rPr>
      </w:pPr>
      <w:r>
        <w:rPr>
          <w:rFonts w:hint="eastAsia" w:ascii="宋体" w:hAnsi="宋体" w:cs="宋体"/>
          <w:szCs w:val="21"/>
        </w:rPr>
        <w:t>(1)承包人应在每月底按批准的格式，向监理人提交月进度实施报告，其内容包括：</w:t>
      </w:r>
    </w:p>
    <w:p>
      <w:pPr>
        <w:spacing w:line="440" w:lineRule="exact"/>
        <w:ind w:firstLine="420" w:firstLineChars="200"/>
        <w:rPr>
          <w:rFonts w:hint="eastAsia" w:ascii="宋体" w:hAnsi="宋体" w:cs="宋体"/>
          <w:szCs w:val="21"/>
        </w:rPr>
      </w:pPr>
      <w:r>
        <w:rPr>
          <w:rFonts w:hint="eastAsia" w:ascii="宋体" w:hAnsi="宋体" w:cs="宋体"/>
          <w:szCs w:val="21"/>
        </w:rPr>
        <w:t>1)月完成工程量和累计完成工程量(包括永久工程和临时工程)；</w:t>
      </w:r>
    </w:p>
    <w:p>
      <w:pPr>
        <w:spacing w:line="440" w:lineRule="exact"/>
        <w:ind w:firstLine="420" w:firstLineChars="200"/>
        <w:rPr>
          <w:rFonts w:hint="eastAsia" w:ascii="宋体" w:hAnsi="宋体" w:cs="宋体"/>
          <w:szCs w:val="21"/>
        </w:rPr>
      </w:pPr>
      <w:r>
        <w:rPr>
          <w:rFonts w:hint="eastAsia" w:ascii="宋体" w:hAnsi="宋体" w:cs="宋体"/>
          <w:szCs w:val="21"/>
        </w:rPr>
        <w:t>2)月完成的工程面貌图；</w:t>
      </w:r>
    </w:p>
    <w:p>
      <w:pPr>
        <w:spacing w:line="440" w:lineRule="exact"/>
        <w:ind w:firstLine="420" w:firstLineChars="200"/>
        <w:rPr>
          <w:rFonts w:hint="eastAsia" w:ascii="宋体" w:hAnsi="宋体" w:cs="宋体"/>
          <w:szCs w:val="21"/>
        </w:rPr>
      </w:pPr>
      <w:r>
        <w:rPr>
          <w:rFonts w:hint="eastAsia" w:ascii="宋体" w:hAnsi="宋体" w:cs="宋体"/>
          <w:szCs w:val="21"/>
        </w:rPr>
        <w:t>3)材料实际进货、消耗和库存量；</w:t>
      </w:r>
    </w:p>
    <w:p>
      <w:pPr>
        <w:spacing w:line="440" w:lineRule="exact"/>
        <w:ind w:firstLine="420" w:firstLineChars="200"/>
        <w:rPr>
          <w:rFonts w:hint="eastAsia" w:ascii="宋体" w:hAnsi="宋体" w:cs="宋体"/>
          <w:szCs w:val="21"/>
        </w:rPr>
      </w:pPr>
      <w:r>
        <w:rPr>
          <w:rFonts w:hint="eastAsia" w:ascii="宋体" w:hAnsi="宋体" w:cs="宋体"/>
          <w:szCs w:val="21"/>
        </w:rPr>
        <w:t>4)现场施工设备的投运数量和运行状况；</w:t>
      </w:r>
    </w:p>
    <w:p>
      <w:pPr>
        <w:spacing w:line="440" w:lineRule="exact"/>
        <w:ind w:firstLine="420" w:firstLineChars="200"/>
        <w:rPr>
          <w:rFonts w:hint="eastAsia" w:ascii="宋体" w:hAnsi="宋体" w:cs="宋体"/>
          <w:szCs w:val="21"/>
        </w:rPr>
      </w:pPr>
      <w:r>
        <w:rPr>
          <w:rFonts w:hint="eastAsia" w:ascii="宋体" w:hAnsi="宋体" w:cs="宋体"/>
          <w:szCs w:val="21"/>
        </w:rPr>
        <w:t>5)工程设备的到货情况；</w:t>
      </w:r>
    </w:p>
    <w:p>
      <w:pPr>
        <w:spacing w:line="440" w:lineRule="exact"/>
        <w:ind w:firstLine="420" w:firstLineChars="200"/>
        <w:rPr>
          <w:rFonts w:hint="eastAsia" w:ascii="宋体" w:hAnsi="宋体" w:cs="宋体"/>
          <w:szCs w:val="21"/>
        </w:rPr>
      </w:pPr>
      <w:r>
        <w:rPr>
          <w:rFonts w:hint="eastAsia" w:ascii="宋体" w:hAnsi="宋体" w:cs="宋体"/>
          <w:szCs w:val="21"/>
        </w:rPr>
        <w:t>6)劳动力数量(本月及预计未来3个月劳动力的数量)；</w:t>
      </w:r>
    </w:p>
    <w:p>
      <w:pPr>
        <w:spacing w:line="440" w:lineRule="exact"/>
        <w:ind w:firstLine="420" w:firstLineChars="200"/>
        <w:rPr>
          <w:rFonts w:hint="eastAsia" w:ascii="宋体" w:hAnsi="宋体" w:cs="宋体"/>
          <w:szCs w:val="21"/>
        </w:rPr>
      </w:pPr>
      <w:r>
        <w:rPr>
          <w:rFonts w:hint="eastAsia" w:ascii="宋体" w:hAnsi="宋体" w:cs="宋体"/>
          <w:szCs w:val="21"/>
        </w:rPr>
        <w:t>7)当前影响施工进度计划的因素和采取的改进措施；</w:t>
      </w:r>
    </w:p>
    <w:p>
      <w:pPr>
        <w:spacing w:line="440" w:lineRule="exact"/>
        <w:ind w:firstLine="420" w:firstLineChars="200"/>
        <w:rPr>
          <w:rFonts w:hint="eastAsia" w:ascii="宋体" w:hAnsi="宋体" w:cs="宋体"/>
          <w:szCs w:val="21"/>
        </w:rPr>
      </w:pPr>
      <w:r>
        <w:rPr>
          <w:rFonts w:hint="eastAsia" w:ascii="宋体" w:hAnsi="宋体" w:cs="宋体"/>
          <w:szCs w:val="21"/>
        </w:rPr>
        <w:t>8)质量事故和质量缺陷处理纪录，质量状况评价；</w:t>
      </w:r>
    </w:p>
    <w:p>
      <w:pPr>
        <w:spacing w:line="440" w:lineRule="exact"/>
        <w:ind w:firstLine="420" w:firstLineChars="200"/>
        <w:rPr>
          <w:rFonts w:hint="eastAsia" w:ascii="宋体" w:hAnsi="宋体" w:cs="宋体"/>
          <w:szCs w:val="21"/>
        </w:rPr>
      </w:pPr>
      <w:r>
        <w:rPr>
          <w:rFonts w:hint="eastAsia" w:ascii="宋体" w:hAnsi="宋体" w:cs="宋体"/>
          <w:szCs w:val="21"/>
        </w:rPr>
        <w:t>9)安全施工措施实施情况(包括安全事故处理情况)；</w:t>
      </w:r>
    </w:p>
    <w:p>
      <w:pPr>
        <w:spacing w:line="440" w:lineRule="exact"/>
        <w:ind w:firstLine="420" w:firstLineChars="200"/>
        <w:rPr>
          <w:rFonts w:hint="eastAsia" w:ascii="宋体" w:hAnsi="宋体" w:cs="宋体"/>
          <w:szCs w:val="21"/>
        </w:rPr>
      </w:pPr>
      <w:r>
        <w:rPr>
          <w:rFonts w:hint="eastAsia" w:ascii="宋体" w:hAnsi="宋体" w:cs="宋体"/>
          <w:szCs w:val="21"/>
        </w:rPr>
        <w:t>10)环境保护及水土保持措施实施情况。</w:t>
      </w:r>
    </w:p>
    <w:p>
      <w:pPr>
        <w:spacing w:line="440" w:lineRule="exact"/>
        <w:ind w:firstLine="420" w:firstLineChars="200"/>
        <w:rPr>
          <w:rFonts w:hint="eastAsia" w:ascii="宋体" w:hAnsi="宋体" w:cs="宋体"/>
          <w:szCs w:val="21"/>
        </w:rPr>
      </w:pPr>
      <w:r>
        <w:rPr>
          <w:rFonts w:hint="eastAsia" w:ascii="宋体" w:hAnsi="宋体" w:cs="宋体"/>
          <w:szCs w:val="21"/>
        </w:rPr>
        <w:t>月进度报告应附有一组充分显示工程施工面貌与实际进度相对应的定点摄影照片。</w:t>
      </w:r>
    </w:p>
    <w:p>
      <w:pPr>
        <w:spacing w:line="440" w:lineRule="exact"/>
        <w:ind w:firstLine="420" w:firstLineChars="200"/>
        <w:rPr>
          <w:rFonts w:hint="eastAsia" w:ascii="宋体" w:hAnsi="宋体" w:cs="宋体"/>
          <w:szCs w:val="21"/>
        </w:rPr>
      </w:pPr>
      <w:r>
        <w:rPr>
          <w:rFonts w:hint="eastAsia" w:ascii="宋体" w:hAnsi="宋体" w:cs="宋体"/>
          <w:szCs w:val="21"/>
        </w:rPr>
        <w:t>(2)承包人应在每周进度会议上按批准的格式，向监理人提交周进度报表，其内容包括：</w:t>
      </w:r>
    </w:p>
    <w:p>
      <w:pPr>
        <w:spacing w:line="440" w:lineRule="exact"/>
        <w:ind w:firstLine="420" w:firstLineChars="200"/>
        <w:rPr>
          <w:rFonts w:hint="eastAsia" w:ascii="宋体" w:hAnsi="宋体" w:cs="宋体"/>
          <w:szCs w:val="21"/>
        </w:rPr>
      </w:pPr>
      <w:r>
        <w:rPr>
          <w:rFonts w:hint="eastAsia" w:ascii="宋体" w:hAnsi="宋体" w:cs="宋体"/>
          <w:szCs w:val="21"/>
        </w:rPr>
        <w:t>1)上周之前合同进度计划要求和实际完成工程量和累计完成工程量统计；</w:t>
      </w:r>
    </w:p>
    <w:p>
      <w:pPr>
        <w:spacing w:line="440" w:lineRule="exact"/>
        <w:ind w:firstLine="420" w:firstLineChars="200"/>
        <w:rPr>
          <w:rFonts w:hint="eastAsia" w:ascii="宋体" w:hAnsi="宋体" w:cs="宋体"/>
          <w:szCs w:val="21"/>
        </w:rPr>
      </w:pPr>
      <w:r>
        <w:rPr>
          <w:rFonts w:hint="eastAsia" w:ascii="宋体" w:hAnsi="宋体" w:cs="宋体"/>
          <w:szCs w:val="21"/>
        </w:rPr>
        <w:t>2)上周实际完成工程量统计；</w:t>
      </w:r>
    </w:p>
    <w:p>
      <w:pPr>
        <w:spacing w:line="440" w:lineRule="exact"/>
        <w:ind w:firstLine="420" w:firstLineChars="200"/>
        <w:rPr>
          <w:rFonts w:hint="eastAsia" w:ascii="宋体" w:hAnsi="宋体" w:cs="宋体"/>
          <w:szCs w:val="21"/>
        </w:rPr>
      </w:pPr>
      <w:r>
        <w:rPr>
          <w:rFonts w:hint="eastAsia" w:ascii="宋体" w:hAnsi="宋体" w:cs="宋体"/>
          <w:szCs w:val="21"/>
        </w:rPr>
        <w:t>3)下周计划完成的工程量；</w:t>
      </w:r>
    </w:p>
    <w:p>
      <w:pPr>
        <w:spacing w:line="440" w:lineRule="exact"/>
        <w:ind w:firstLine="420" w:firstLineChars="200"/>
        <w:rPr>
          <w:rFonts w:hint="eastAsia" w:ascii="宋体" w:hAnsi="宋体" w:cs="宋体"/>
          <w:szCs w:val="21"/>
        </w:rPr>
      </w:pPr>
      <w:r>
        <w:rPr>
          <w:rFonts w:hint="eastAsia" w:ascii="宋体" w:hAnsi="宋体" w:cs="宋体"/>
          <w:szCs w:val="21"/>
        </w:rPr>
        <w:t>4)要求监理人协调解决的主要问题。</w:t>
      </w:r>
    </w:p>
    <w:p>
      <w:pPr>
        <w:spacing w:line="440" w:lineRule="exact"/>
        <w:outlineLvl w:val="0"/>
        <w:rPr>
          <w:rFonts w:hint="eastAsia" w:ascii="宋体" w:hAnsi="宋体" w:cs="宋体"/>
          <w:szCs w:val="21"/>
        </w:rPr>
      </w:pPr>
      <w:bookmarkStart w:id="856" w:name="_Toc517383262"/>
      <w:bookmarkStart w:id="857" w:name="_Toc511564552"/>
      <w:r>
        <w:rPr>
          <w:rFonts w:hint="eastAsia" w:ascii="宋体" w:hAnsi="宋体" w:cs="宋体"/>
          <w:szCs w:val="21"/>
        </w:rPr>
        <w:t>1.7.4　进度会议</w:t>
      </w:r>
      <w:bookmarkEnd w:id="856"/>
      <w:bookmarkEnd w:id="857"/>
    </w:p>
    <w:p>
      <w:pPr>
        <w:spacing w:line="440" w:lineRule="exact"/>
        <w:ind w:firstLine="420" w:firstLineChars="200"/>
        <w:rPr>
          <w:rFonts w:hint="eastAsia" w:ascii="宋体" w:hAnsi="宋体" w:cs="宋体"/>
          <w:szCs w:val="21"/>
        </w:rPr>
      </w:pPr>
      <w:r>
        <w:rPr>
          <w:rFonts w:hint="eastAsia" w:ascii="宋体" w:hAnsi="宋体" w:cs="宋体"/>
          <w:szCs w:val="21"/>
        </w:rPr>
        <w:t>(1)监理人应在每周的某一日和每月末定期召开周、月进度会议，检查承包人合同进度计划的执行情况，协调解决工程施工中发生的工程变更、质量缺陷处理等问题，以及与其它承包人的相互干扰和矛盾。</w:t>
      </w:r>
    </w:p>
    <w:p>
      <w:pPr>
        <w:spacing w:line="440" w:lineRule="exact"/>
        <w:ind w:firstLine="420" w:firstLineChars="200"/>
        <w:rPr>
          <w:rFonts w:hint="eastAsia" w:ascii="宋体" w:hAnsi="宋体" w:cs="宋体"/>
          <w:szCs w:val="21"/>
        </w:rPr>
      </w:pPr>
      <w:r>
        <w:rPr>
          <w:rFonts w:hint="eastAsia" w:ascii="宋体" w:hAnsi="宋体" w:cs="宋体"/>
          <w:szCs w:val="21"/>
        </w:rPr>
        <w:t>(2)承包人应在每周、月进度会议上按规定的格式提交周、月进度报表。</w:t>
      </w:r>
    </w:p>
    <w:p>
      <w:pPr>
        <w:spacing w:line="440" w:lineRule="exact"/>
        <w:outlineLvl w:val="0"/>
        <w:rPr>
          <w:rFonts w:hint="eastAsia" w:ascii="宋体" w:hAnsi="宋体" w:cs="宋体"/>
          <w:b/>
          <w:szCs w:val="21"/>
        </w:rPr>
      </w:pPr>
      <w:bookmarkStart w:id="858" w:name="_Toc511564553"/>
      <w:bookmarkStart w:id="859" w:name="_Toc517383263"/>
      <w:r>
        <w:rPr>
          <w:rFonts w:hint="eastAsia" w:ascii="宋体" w:hAnsi="宋体" w:cs="宋体"/>
          <w:b/>
          <w:szCs w:val="21"/>
        </w:rPr>
        <w:t>1.8 工程质量的检查、检验和验收</w:t>
      </w:r>
      <w:bookmarkEnd w:id="858"/>
      <w:bookmarkEnd w:id="859"/>
    </w:p>
    <w:p>
      <w:pPr>
        <w:spacing w:line="440" w:lineRule="exact"/>
        <w:outlineLvl w:val="0"/>
        <w:rPr>
          <w:rFonts w:hint="eastAsia" w:ascii="宋体" w:hAnsi="宋体" w:cs="宋体"/>
          <w:szCs w:val="21"/>
        </w:rPr>
      </w:pPr>
      <w:bookmarkStart w:id="860" w:name="_Toc517383264"/>
      <w:bookmarkStart w:id="861" w:name="_Toc511564554"/>
      <w:r>
        <w:rPr>
          <w:rFonts w:hint="eastAsia" w:ascii="宋体" w:hAnsi="宋体" w:cs="宋体"/>
          <w:szCs w:val="21"/>
        </w:rPr>
        <w:t>1.8.1　承包人的质量自检</w:t>
      </w:r>
      <w:bookmarkEnd w:id="860"/>
      <w:bookmarkEnd w:id="861"/>
    </w:p>
    <w:p>
      <w:pPr>
        <w:spacing w:line="440" w:lineRule="exact"/>
        <w:ind w:firstLine="420" w:firstLineChars="200"/>
        <w:rPr>
          <w:rFonts w:hint="eastAsia" w:ascii="宋体" w:hAnsi="宋体" w:cs="宋体"/>
          <w:szCs w:val="21"/>
        </w:rPr>
      </w:pPr>
      <w:r>
        <w:rPr>
          <w:rFonts w:hint="eastAsia" w:ascii="宋体" w:hAnsi="宋体" w:cs="宋体"/>
          <w:szCs w:val="21"/>
        </w:rPr>
        <w:t>(1)承包人应在收到开工通知后的</w:t>
      </w:r>
      <w:r>
        <w:rPr>
          <w:rFonts w:hint="eastAsia" w:ascii="宋体" w:hAnsi="宋体" w:cs="宋体"/>
          <w:szCs w:val="21"/>
          <w:u w:val="single"/>
        </w:rPr>
        <w:t>14</w:t>
      </w:r>
      <w:r>
        <w:rPr>
          <w:rFonts w:hint="eastAsia" w:ascii="宋体" w:hAnsi="宋体" w:cs="宋体"/>
          <w:szCs w:val="21"/>
        </w:rPr>
        <w:t>天内，向监理人提交本工程质量保证措施文件，其内容包括：</w:t>
      </w:r>
    </w:p>
    <w:p>
      <w:pPr>
        <w:spacing w:line="440" w:lineRule="exact"/>
        <w:ind w:firstLine="420" w:firstLineChars="200"/>
        <w:rPr>
          <w:rFonts w:hint="eastAsia" w:ascii="宋体" w:hAnsi="宋体" w:cs="宋体"/>
          <w:szCs w:val="21"/>
        </w:rPr>
      </w:pPr>
      <w:r>
        <w:rPr>
          <w:rFonts w:hint="eastAsia" w:ascii="宋体" w:hAnsi="宋体" w:cs="宋体"/>
          <w:szCs w:val="21"/>
        </w:rPr>
        <w:t>1)质量检查机构的组织框图；</w:t>
      </w:r>
    </w:p>
    <w:p>
      <w:pPr>
        <w:spacing w:line="440" w:lineRule="exact"/>
        <w:ind w:firstLine="420" w:firstLineChars="200"/>
        <w:rPr>
          <w:rFonts w:hint="eastAsia" w:ascii="宋体" w:hAnsi="宋体" w:cs="宋体"/>
          <w:szCs w:val="21"/>
        </w:rPr>
      </w:pPr>
      <w:r>
        <w:rPr>
          <w:rFonts w:hint="eastAsia" w:ascii="宋体" w:hAnsi="宋体" w:cs="宋体"/>
          <w:szCs w:val="21"/>
        </w:rPr>
        <w:t>2)质量检查的岗位设置及检查人员名单；</w:t>
      </w:r>
    </w:p>
    <w:p>
      <w:pPr>
        <w:spacing w:line="440" w:lineRule="exact"/>
        <w:ind w:firstLine="420" w:firstLineChars="200"/>
        <w:rPr>
          <w:rFonts w:hint="eastAsia" w:ascii="宋体" w:hAnsi="宋体" w:cs="宋体"/>
          <w:szCs w:val="21"/>
        </w:rPr>
      </w:pPr>
      <w:r>
        <w:rPr>
          <w:rFonts w:hint="eastAsia" w:ascii="宋体" w:hAnsi="宋体" w:cs="宋体"/>
          <w:szCs w:val="21"/>
        </w:rPr>
        <w:t>3)各主要工程建筑物施工，以及各施工工种的质量检查程序；</w:t>
      </w:r>
    </w:p>
    <w:p>
      <w:pPr>
        <w:spacing w:line="440" w:lineRule="exact"/>
        <w:ind w:firstLine="420" w:firstLineChars="200"/>
        <w:rPr>
          <w:rFonts w:hint="eastAsia" w:ascii="宋体" w:hAnsi="宋体" w:cs="宋体"/>
          <w:szCs w:val="21"/>
        </w:rPr>
      </w:pPr>
      <w:r>
        <w:rPr>
          <w:rFonts w:hint="eastAsia" w:ascii="宋体" w:hAnsi="宋体" w:cs="宋体"/>
          <w:szCs w:val="21"/>
        </w:rPr>
        <w:t>4)隐蔽工程和工程隐蔽部位的质量检查程序；</w:t>
      </w:r>
    </w:p>
    <w:p>
      <w:pPr>
        <w:spacing w:line="440" w:lineRule="exact"/>
        <w:ind w:firstLine="420" w:firstLineChars="200"/>
        <w:rPr>
          <w:rFonts w:hint="eastAsia" w:ascii="宋体" w:hAnsi="宋体" w:cs="宋体"/>
          <w:szCs w:val="21"/>
        </w:rPr>
      </w:pPr>
      <w:r>
        <w:rPr>
          <w:rFonts w:hint="eastAsia" w:ascii="宋体" w:hAnsi="宋体" w:cs="宋体"/>
          <w:szCs w:val="21"/>
        </w:rPr>
        <w:t>5)质量检查记录及验收单格式。</w:t>
      </w:r>
    </w:p>
    <w:p>
      <w:pPr>
        <w:spacing w:line="440" w:lineRule="exact"/>
        <w:ind w:firstLine="420" w:firstLineChars="200"/>
        <w:rPr>
          <w:rFonts w:hint="eastAsia" w:ascii="宋体" w:hAnsi="宋体" w:cs="宋体"/>
          <w:szCs w:val="21"/>
        </w:rPr>
      </w:pPr>
      <w:r>
        <w:rPr>
          <w:rFonts w:hint="eastAsia" w:ascii="宋体" w:hAnsi="宋体" w:cs="宋体"/>
          <w:szCs w:val="21"/>
        </w:rPr>
        <w:t>(2)承包人应按监理人指示和批准的格式，编制工程质量报表，定期提交监理人。</w:t>
      </w:r>
    </w:p>
    <w:p>
      <w:pPr>
        <w:spacing w:line="440" w:lineRule="exact"/>
        <w:ind w:firstLine="420" w:firstLineChars="200"/>
        <w:rPr>
          <w:rFonts w:hint="eastAsia" w:ascii="宋体" w:hAnsi="宋体" w:cs="宋体"/>
          <w:szCs w:val="21"/>
        </w:rPr>
      </w:pPr>
      <w:r>
        <w:rPr>
          <w:rFonts w:hint="eastAsia" w:ascii="宋体" w:hAnsi="宋体" w:cs="宋体"/>
          <w:szCs w:val="21"/>
        </w:rPr>
        <w:t>(3)工程发生质量事故时，承包人应约请监理人共同对工程质量事故进行检查，做好质量事故检查的同期记录和事故处理的自检报告。自检报告应提交监理人。</w:t>
      </w:r>
    </w:p>
    <w:p>
      <w:pPr>
        <w:spacing w:line="440" w:lineRule="exact"/>
        <w:outlineLvl w:val="0"/>
        <w:rPr>
          <w:rFonts w:hint="eastAsia" w:ascii="宋体" w:hAnsi="宋体" w:cs="宋体"/>
          <w:szCs w:val="21"/>
        </w:rPr>
      </w:pPr>
      <w:bookmarkStart w:id="862" w:name="_Toc511564555"/>
      <w:bookmarkStart w:id="863" w:name="_Toc517383265"/>
      <w:r>
        <w:rPr>
          <w:rFonts w:hint="eastAsia" w:ascii="宋体" w:hAnsi="宋体" w:cs="宋体"/>
          <w:szCs w:val="21"/>
        </w:rPr>
        <w:t>1.8.2　监理人的质量检查</w:t>
      </w:r>
      <w:bookmarkEnd w:id="862"/>
      <w:bookmarkEnd w:id="863"/>
    </w:p>
    <w:p>
      <w:pPr>
        <w:spacing w:line="440" w:lineRule="exact"/>
        <w:ind w:firstLine="420" w:firstLineChars="200"/>
        <w:rPr>
          <w:rFonts w:hint="eastAsia" w:ascii="宋体" w:hAnsi="宋体" w:cs="宋体"/>
          <w:szCs w:val="21"/>
        </w:rPr>
      </w:pPr>
      <w:r>
        <w:rPr>
          <w:rFonts w:hint="eastAsia" w:ascii="宋体" w:hAnsi="宋体" w:cs="宋体"/>
          <w:szCs w:val="21"/>
        </w:rPr>
        <w:t>(1)监理人为检查工程和工程设备质量的需要，可要求承包人提交材料质量和设备出厂合格证、材料试验和设备检测成果、施工和安装记录等，承包人应及时予以提供。</w:t>
      </w:r>
    </w:p>
    <w:p>
      <w:pPr>
        <w:spacing w:line="440" w:lineRule="exact"/>
        <w:ind w:firstLine="420" w:firstLineChars="200"/>
        <w:rPr>
          <w:rFonts w:hint="eastAsia" w:ascii="宋体" w:hAnsi="宋体" w:cs="宋体"/>
          <w:szCs w:val="21"/>
        </w:rPr>
      </w:pPr>
      <w:r>
        <w:rPr>
          <w:rFonts w:hint="eastAsia" w:ascii="宋体" w:hAnsi="宋体" w:cs="宋体"/>
          <w:szCs w:val="21"/>
        </w:rPr>
        <w:t>(2)监理人有权要求承包人按合同约定提供试验用的材料样品或在现场钻取试件，并使用承包人的测试设备进行试验检验；监理人还可要求承包人进行补充的试验检验。</w:t>
      </w:r>
    </w:p>
    <w:p>
      <w:pPr>
        <w:spacing w:line="440" w:lineRule="exact"/>
        <w:outlineLvl w:val="0"/>
        <w:rPr>
          <w:rFonts w:hint="eastAsia" w:ascii="宋体" w:hAnsi="宋体" w:cs="宋体"/>
          <w:szCs w:val="21"/>
        </w:rPr>
      </w:pPr>
      <w:bookmarkStart w:id="864" w:name="_Toc511564556"/>
      <w:bookmarkStart w:id="865" w:name="_Toc517383266"/>
      <w:r>
        <w:rPr>
          <w:rFonts w:hint="eastAsia" w:ascii="宋体" w:hAnsi="宋体" w:cs="宋体"/>
          <w:szCs w:val="21"/>
        </w:rPr>
        <w:t>1.8.3　发包人的完工预验收</w:t>
      </w:r>
      <w:bookmarkEnd w:id="864"/>
      <w:bookmarkEnd w:id="865"/>
    </w:p>
    <w:p>
      <w:pPr>
        <w:spacing w:line="440" w:lineRule="exact"/>
        <w:ind w:firstLine="420" w:firstLineChars="200"/>
        <w:rPr>
          <w:rFonts w:hint="eastAsia" w:ascii="宋体" w:hAnsi="宋体" w:cs="宋体"/>
          <w:szCs w:val="21"/>
        </w:rPr>
      </w:pPr>
      <w:r>
        <w:rPr>
          <w:rFonts w:hint="eastAsia" w:ascii="宋体" w:hAnsi="宋体" w:cs="宋体"/>
          <w:szCs w:val="21"/>
        </w:rPr>
        <w:t>(1)在施工过程中，发包人(或监理人)应会同承包人和有关部门，根据本合同技术条款的规定，对完工的工程项目进行检查验收。检查合格后，发包人、监理人、承包人及有关各方均应在检查验收单上签字后，作为工程完工预验收资料。</w:t>
      </w:r>
    </w:p>
    <w:p>
      <w:pPr>
        <w:spacing w:line="440" w:lineRule="exact"/>
        <w:ind w:firstLine="420" w:firstLineChars="200"/>
        <w:rPr>
          <w:rFonts w:hint="eastAsia" w:ascii="宋体" w:hAnsi="宋体" w:cs="宋体"/>
          <w:szCs w:val="21"/>
        </w:rPr>
      </w:pPr>
      <w:r>
        <w:rPr>
          <w:rFonts w:hint="eastAsia" w:ascii="宋体" w:hAnsi="宋体" w:cs="宋体"/>
          <w:szCs w:val="21"/>
        </w:rPr>
        <w:t>(2)承包人完成每项单位工程和分部工程后，发包人和(或)监理人应组织承包人及有关各方进行完工预验收。承包人应按技术条款的规定与完工验收要求，整编好验收资料，由参加验收各方共同签字后，作为工程竣工验收资料。</w:t>
      </w:r>
    </w:p>
    <w:p>
      <w:pPr>
        <w:spacing w:line="440" w:lineRule="exact"/>
        <w:outlineLvl w:val="0"/>
        <w:rPr>
          <w:rFonts w:hint="eastAsia" w:ascii="宋体" w:hAnsi="宋体" w:cs="宋体"/>
          <w:b/>
          <w:szCs w:val="21"/>
        </w:rPr>
      </w:pPr>
      <w:bookmarkStart w:id="866" w:name="_Toc511564557"/>
      <w:bookmarkStart w:id="867" w:name="_Toc517383267"/>
      <w:r>
        <w:rPr>
          <w:rFonts w:hint="eastAsia" w:ascii="宋体" w:hAnsi="宋体" w:cs="宋体"/>
          <w:b/>
          <w:szCs w:val="21"/>
        </w:rPr>
        <w:t>1.9 验收</w:t>
      </w:r>
      <w:bookmarkEnd w:id="866"/>
      <w:bookmarkEnd w:id="867"/>
    </w:p>
    <w:p>
      <w:pPr>
        <w:spacing w:line="440" w:lineRule="exact"/>
        <w:outlineLvl w:val="0"/>
        <w:rPr>
          <w:rFonts w:hint="eastAsia" w:ascii="宋体" w:hAnsi="宋体" w:cs="宋体"/>
          <w:szCs w:val="21"/>
        </w:rPr>
      </w:pPr>
      <w:bookmarkStart w:id="868" w:name="_Toc517383268"/>
      <w:bookmarkStart w:id="869" w:name="_Toc511564558"/>
      <w:r>
        <w:rPr>
          <w:rFonts w:hint="eastAsia" w:ascii="宋体" w:hAnsi="宋体" w:cs="宋体"/>
          <w:szCs w:val="21"/>
        </w:rPr>
        <w:t>1.9.1 专项验收</w:t>
      </w:r>
      <w:bookmarkEnd w:id="868"/>
      <w:bookmarkEnd w:id="869"/>
    </w:p>
    <w:p>
      <w:pPr>
        <w:spacing w:line="440" w:lineRule="exact"/>
        <w:ind w:firstLine="420" w:firstLineChars="200"/>
        <w:rPr>
          <w:rFonts w:hint="eastAsia" w:ascii="宋体" w:hAnsi="宋体" w:cs="宋体"/>
          <w:szCs w:val="21"/>
        </w:rPr>
      </w:pPr>
      <w:r>
        <w:rPr>
          <w:rFonts w:hint="eastAsia" w:ascii="宋体" w:hAnsi="宋体" w:cs="宋体"/>
          <w:szCs w:val="21"/>
        </w:rPr>
        <w:t>(1)专项验收是指与国家和地方有关的对外永久交通、环境保护、水土保持及工程档案等的专项工程验收。</w:t>
      </w:r>
    </w:p>
    <w:p>
      <w:pPr>
        <w:spacing w:line="440" w:lineRule="exact"/>
        <w:ind w:firstLine="420" w:firstLineChars="200"/>
        <w:rPr>
          <w:rFonts w:hint="eastAsia" w:ascii="宋体" w:hAnsi="宋体" w:cs="宋体"/>
          <w:szCs w:val="21"/>
        </w:rPr>
      </w:pPr>
      <w:r>
        <w:rPr>
          <w:rFonts w:hint="eastAsia" w:ascii="宋体" w:hAnsi="宋体" w:cs="宋体"/>
          <w:szCs w:val="21"/>
        </w:rPr>
        <w:t>(2)专项验收可与工程竣工验收一并进行，其工程竣工验收资料的整编内容可参照本章第1.9.3条的要求进行。</w:t>
      </w:r>
    </w:p>
    <w:p>
      <w:pPr>
        <w:spacing w:line="440" w:lineRule="exact"/>
        <w:outlineLvl w:val="0"/>
        <w:rPr>
          <w:rFonts w:hint="eastAsia" w:ascii="宋体" w:hAnsi="宋体" w:cs="宋体"/>
          <w:szCs w:val="21"/>
        </w:rPr>
      </w:pPr>
      <w:bookmarkStart w:id="870" w:name="_Toc511564559"/>
      <w:bookmarkStart w:id="871" w:name="_Toc517383269"/>
      <w:r>
        <w:rPr>
          <w:rFonts w:hint="eastAsia" w:ascii="宋体" w:hAnsi="宋体" w:cs="宋体"/>
          <w:szCs w:val="21"/>
        </w:rPr>
        <w:t>1.9.2　阶段验收</w:t>
      </w:r>
      <w:bookmarkEnd w:id="870"/>
      <w:bookmarkEnd w:id="871"/>
    </w:p>
    <w:p>
      <w:pPr>
        <w:spacing w:line="440" w:lineRule="exact"/>
        <w:ind w:firstLine="420" w:firstLineChars="200"/>
        <w:rPr>
          <w:rFonts w:hint="eastAsia" w:ascii="宋体" w:hAnsi="宋体" w:cs="宋体"/>
          <w:szCs w:val="21"/>
        </w:rPr>
      </w:pPr>
      <w:r>
        <w:rPr>
          <w:rFonts w:hint="eastAsia" w:ascii="宋体" w:hAnsi="宋体" w:cs="宋体"/>
          <w:szCs w:val="21"/>
        </w:rPr>
        <w:t>根据国家对工程施工过程的安全管理需要，本工程应进行以下项目的阶段验收：</w:t>
      </w:r>
    </w:p>
    <w:p>
      <w:pPr>
        <w:numPr>
          <w:ilvl w:val="0"/>
          <w:numId w:val="8"/>
        </w:numPr>
        <w:spacing w:line="440" w:lineRule="exact"/>
        <w:ind w:left="0" w:firstLine="420" w:firstLineChars="200"/>
        <w:rPr>
          <w:rFonts w:hint="eastAsia" w:ascii="宋体" w:hAnsi="宋体" w:cs="宋体"/>
          <w:szCs w:val="21"/>
        </w:rPr>
      </w:pPr>
      <w:r>
        <w:rPr>
          <w:rFonts w:hint="eastAsia" w:ascii="宋体" w:hAnsi="宋体" w:cs="宋体"/>
          <w:szCs w:val="21"/>
        </w:rPr>
        <w:t>工程建设需要增加的其它验收。</w:t>
      </w:r>
    </w:p>
    <w:p>
      <w:pPr>
        <w:spacing w:line="440" w:lineRule="exact"/>
        <w:outlineLvl w:val="0"/>
        <w:rPr>
          <w:rFonts w:hint="eastAsia" w:ascii="宋体" w:hAnsi="宋体" w:cs="宋体"/>
          <w:szCs w:val="21"/>
        </w:rPr>
      </w:pPr>
      <w:bookmarkStart w:id="872" w:name="_Toc517383270"/>
      <w:bookmarkStart w:id="873" w:name="_Toc511564560"/>
      <w:r>
        <w:rPr>
          <w:rFonts w:hint="eastAsia" w:ascii="宋体" w:hAnsi="宋体" w:cs="宋体"/>
          <w:szCs w:val="21"/>
        </w:rPr>
        <w:t>1.9.3　工程竣工验收</w:t>
      </w:r>
      <w:bookmarkEnd w:id="872"/>
      <w:bookmarkEnd w:id="873"/>
    </w:p>
    <w:p>
      <w:pPr>
        <w:spacing w:line="440" w:lineRule="exact"/>
        <w:ind w:firstLine="420" w:firstLineChars="200"/>
        <w:rPr>
          <w:rFonts w:hint="eastAsia" w:ascii="宋体" w:hAnsi="宋体" w:cs="宋体"/>
          <w:szCs w:val="21"/>
        </w:rPr>
      </w:pPr>
      <w:r>
        <w:rPr>
          <w:rFonts w:hint="eastAsia" w:ascii="宋体" w:hAnsi="宋体" w:cs="宋体"/>
          <w:szCs w:val="21"/>
        </w:rPr>
        <w:t>(1)工程竣工验收应遵守相关行业验收管理办法、验收规程的规定。</w:t>
      </w:r>
    </w:p>
    <w:p>
      <w:pPr>
        <w:spacing w:line="440" w:lineRule="exact"/>
        <w:ind w:firstLine="420" w:firstLineChars="200"/>
        <w:rPr>
          <w:rFonts w:hint="eastAsia" w:ascii="宋体" w:hAnsi="宋体" w:cs="宋体"/>
          <w:szCs w:val="21"/>
        </w:rPr>
      </w:pPr>
      <w:r>
        <w:rPr>
          <w:rFonts w:hint="eastAsia" w:ascii="宋体" w:hAnsi="宋体" w:cs="宋体"/>
          <w:szCs w:val="21"/>
        </w:rPr>
        <w:t>(2)各项单位工程、分部工程完工后，承包人应按本合同的约定，向发包人提交该项验收工程的竣工验收申请报告。发包人收到竣工验收申请报告后，应按合同约定的程序和时限完成验收工作。</w:t>
      </w:r>
    </w:p>
    <w:p>
      <w:pPr>
        <w:spacing w:line="440" w:lineRule="exact"/>
        <w:ind w:firstLine="420" w:firstLineChars="200"/>
        <w:rPr>
          <w:rFonts w:hint="eastAsia" w:ascii="宋体" w:hAnsi="宋体" w:cs="宋体"/>
          <w:szCs w:val="21"/>
        </w:rPr>
      </w:pPr>
      <w:r>
        <w:rPr>
          <w:rFonts w:hint="eastAsia" w:ascii="宋体" w:hAnsi="宋体" w:cs="宋体"/>
          <w:szCs w:val="21"/>
        </w:rPr>
        <w:t>(3)各项工程竣工验收前，承包人应整编以下竣工验收资料提交发包人，其内容包括(不限于)：</w:t>
      </w:r>
    </w:p>
    <w:p>
      <w:pPr>
        <w:spacing w:line="440" w:lineRule="exact"/>
        <w:ind w:firstLine="420" w:firstLineChars="200"/>
        <w:rPr>
          <w:rFonts w:hint="eastAsia" w:ascii="宋体" w:hAnsi="宋体" w:cs="宋体"/>
          <w:szCs w:val="21"/>
        </w:rPr>
      </w:pPr>
      <w:r>
        <w:rPr>
          <w:rFonts w:hint="eastAsia" w:ascii="宋体" w:hAnsi="宋体" w:cs="宋体"/>
          <w:szCs w:val="21"/>
        </w:rPr>
        <w:t>1)验收工程的各项施工材料的试验检验成果；</w:t>
      </w:r>
    </w:p>
    <w:p>
      <w:pPr>
        <w:spacing w:line="440" w:lineRule="exact"/>
        <w:ind w:firstLine="420" w:firstLineChars="200"/>
        <w:rPr>
          <w:rFonts w:hint="eastAsia" w:ascii="宋体" w:hAnsi="宋体" w:cs="宋体"/>
          <w:szCs w:val="21"/>
        </w:rPr>
      </w:pPr>
      <w:r>
        <w:rPr>
          <w:rFonts w:hint="eastAsia" w:ascii="宋体" w:hAnsi="宋体" w:cs="宋体"/>
          <w:szCs w:val="21"/>
        </w:rPr>
        <w:t>2)监理人对验收工程及其工程设备的质量检查记录；</w:t>
      </w:r>
    </w:p>
    <w:p>
      <w:pPr>
        <w:spacing w:line="440" w:lineRule="exact"/>
        <w:ind w:firstLine="420" w:firstLineChars="200"/>
        <w:rPr>
          <w:rFonts w:hint="eastAsia" w:ascii="宋体" w:hAnsi="宋体" w:cs="宋体"/>
          <w:szCs w:val="21"/>
        </w:rPr>
      </w:pPr>
      <w:r>
        <w:rPr>
          <w:rFonts w:hint="eastAsia" w:ascii="宋体" w:hAnsi="宋体" w:cs="宋体"/>
          <w:szCs w:val="21"/>
        </w:rPr>
        <w:t>3)施工过程中，本项工程及其工程设备的变更文件及资料；</w:t>
      </w:r>
    </w:p>
    <w:p>
      <w:pPr>
        <w:spacing w:line="440" w:lineRule="exact"/>
        <w:ind w:firstLine="420" w:firstLineChars="200"/>
        <w:rPr>
          <w:rFonts w:hint="eastAsia" w:ascii="宋体" w:hAnsi="宋体" w:cs="宋体"/>
          <w:szCs w:val="21"/>
        </w:rPr>
      </w:pPr>
      <w:r>
        <w:rPr>
          <w:rFonts w:hint="eastAsia" w:ascii="宋体" w:hAnsi="宋体" w:cs="宋体"/>
          <w:szCs w:val="21"/>
        </w:rPr>
        <w:t>4)质量事故记录以及工程及其工程设备的缺陷处理报告；</w:t>
      </w:r>
    </w:p>
    <w:p>
      <w:pPr>
        <w:spacing w:line="440" w:lineRule="exact"/>
        <w:ind w:firstLine="420" w:firstLineChars="200"/>
        <w:rPr>
          <w:rFonts w:hint="eastAsia" w:ascii="宋体" w:hAnsi="宋体" w:cs="宋体"/>
          <w:szCs w:val="21"/>
        </w:rPr>
      </w:pPr>
      <w:r>
        <w:rPr>
          <w:rFonts w:hint="eastAsia" w:ascii="宋体" w:hAnsi="宋体" w:cs="宋体"/>
          <w:szCs w:val="21"/>
        </w:rPr>
        <w:t>5)施工过程中，对验收工程质量的专题评定报告；</w:t>
      </w:r>
    </w:p>
    <w:p>
      <w:pPr>
        <w:spacing w:line="440" w:lineRule="exact"/>
        <w:ind w:firstLine="420" w:firstLineChars="200"/>
        <w:rPr>
          <w:rFonts w:hint="eastAsia" w:ascii="宋体" w:hAnsi="宋体" w:cs="宋体"/>
          <w:szCs w:val="21"/>
        </w:rPr>
      </w:pPr>
      <w:r>
        <w:rPr>
          <w:rFonts w:hint="eastAsia" w:ascii="宋体" w:hAnsi="宋体" w:cs="宋体"/>
          <w:szCs w:val="21"/>
        </w:rPr>
        <w:t>6)质量监督机构签认的质量鉴定报告和有关文件；</w:t>
      </w:r>
    </w:p>
    <w:p>
      <w:pPr>
        <w:spacing w:line="440" w:lineRule="exact"/>
        <w:ind w:firstLine="420" w:firstLineChars="200"/>
        <w:rPr>
          <w:rFonts w:hint="eastAsia" w:ascii="宋体" w:hAnsi="宋体" w:cs="宋体"/>
          <w:szCs w:val="21"/>
        </w:rPr>
      </w:pPr>
      <w:r>
        <w:rPr>
          <w:rFonts w:hint="eastAsia" w:ascii="宋体" w:hAnsi="宋体" w:cs="宋体"/>
          <w:szCs w:val="21"/>
        </w:rPr>
        <w:t>7)验收工程施工期的安全监测成果，以及工程设备的试运行检测成果；</w:t>
      </w:r>
    </w:p>
    <w:p>
      <w:pPr>
        <w:spacing w:line="440" w:lineRule="exact"/>
        <w:ind w:firstLine="420" w:firstLineChars="200"/>
        <w:rPr>
          <w:rFonts w:hint="eastAsia" w:ascii="宋体" w:hAnsi="宋体" w:cs="宋体"/>
          <w:szCs w:val="21"/>
        </w:rPr>
      </w:pPr>
      <w:r>
        <w:rPr>
          <w:rFonts w:hint="eastAsia" w:ascii="宋体" w:hAnsi="宋体" w:cs="宋体"/>
          <w:szCs w:val="21"/>
        </w:rPr>
        <w:t>8)监理人指示提交的其它竣工验收资料。</w:t>
      </w:r>
    </w:p>
    <w:p>
      <w:pPr>
        <w:spacing w:line="440" w:lineRule="exact"/>
        <w:ind w:firstLine="420" w:firstLineChars="200"/>
        <w:rPr>
          <w:rFonts w:hint="eastAsia" w:ascii="宋体" w:hAnsi="宋体" w:cs="宋体"/>
          <w:szCs w:val="21"/>
        </w:rPr>
      </w:pPr>
      <w:r>
        <w:rPr>
          <w:rFonts w:hint="eastAsia" w:ascii="宋体" w:hAnsi="宋体" w:cs="宋体"/>
          <w:szCs w:val="21"/>
        </w:rPr>
        <w:t>(4)工程竣工验收应在工程建设项目全部完成，各单位工程、分部工程和单项工程的竣工验收全部合格，并已满足一定运行条件后1年内进行。</w:t>
      </w:r>
    </w:p>
    <w:p>
      <w:pPr>
        <w:spacing w:line="440" w:lineRule="exact"/>
        <w:ind w:firstLine="420" w:firstLineChars="200"/>
        <w:rPr>
          <w:rFonts w:hint="eastAsia" w:ascii="宋体" w:hAnsi="宋体" w:cs="宋体"/>
          <w:szCs w:val="21"/>
        </w:rPr>
      </w:pPr>
      <w:r>
        <w:rPr>
          <w:rFonts w:hint="eastAsia" w:ascii="宋体" w:hAnsi="宋体" w:cs="宋体"/>
          <w:szCs w:val="21"/>
        </w:rPr>
        <w:t>(5)工程竣工验收应由发包人向国家主管部门提出工程竣工验收申请，并经国家主管部门批准后，由国家主管部门主持、发包人组织进行。</w:t>
      </w:r>
    </w:p>
    <w:p>
      <w:pPr>
        <w:spacing w:line="440" w:lineRule="exact"/>
        <w:outlineLvl w:val="0"/>
        <w:rPr>
          <w:rFonts w:hint="eastAsia" w:ascii="宋体" w:hAnsi="宋体" w:cs="宋体"/>
          <w:b/>
          <w:szCs w:val="21"/>
        </w:rPr>
      </w:pPr>
      <w:bookmarkStart w:id="874" w:name="_Toc517383271"/>
      <w:bookmarkStart w:id="875" w:name="_Toc511564561"/>
      <w:r>
        <w:rPr>
          <w:rFonts w:hint="eastAsia" w:ascii="宋体" w:hAnsi="宋体" w:cs="宋体"/>
          <w:b/>
          <w:szCs w:val="21"/>
        </w:rPr>
        <w:t>1.10 工程量计量</w:t>
      </w:r>
      <w:bookmarkEnd w:id="874"/>
      <w:bookmarkEnd w:id="875"/>
    </w:p>
    <w:p>
      <w:pPr>
        <w:spacing w:line="440" w:lineRule="exact"/>
        <w:outlineLvl w:val="0"/>
        <w:rPr>
          <w:rFonts w:hint="eastAsia" w:ascii="宋体" w:hAnsi="宋体" w:cs="宋体"/>
          <w:szCs w:val="21"/>
        </w:rPr>
      </w:pPr>
      <w:bookmarkStart w:id="876" w:name="_Toc517383272"/>
      <w:bookmarkStart w:id="877" w:name="_Toc511564562"/>
      <w:r>
        <w:rPr>
          <w:rFonts w:hint="eastAsia" w:ascii="宋体" w:hAnsi="宋体" w:cs="宋体"/>
          <w:szCs w:val="21"/>
        </w:rPr>
        <w:t>1.10.1 说明</w:t>
      </w:r>
      <w:bookmarkEnd w:id="876"/>
      <w:bookmarkEnd w:id="877"/>
    </w:p>
    <w:p>
      <w:pPr>
        <w:spacing w:line="440" w:lineRule="exact"/>
        <w:ind w:firstLine="420" w:firstLineChars="200"/>
        <w:rPr>
          <w:rFonts w:hint="eastAsia" w:ascii="宋体" w:hAnsi="宋体" w:cs="宋体"/>
          <w:szCs w:val="21"/>
        </w:rPr>
      </w:pPr>
      <w:r>
        <w:rPr>
          <w:rFonts w:hint="eastAsia" w:ascii="宋体" w:hAnsi="宋体" w:cs="宋体"/>
          <w:szCs w:val="21"/>
        </w:rPr>
        <w:t>(1)本合同工程项目应按本合同通用和专用合同条款第17条的约定进行计量。计量方法应符合本技术条款各章的有关规定。</w:t>
      </w:r>
    </w:p>
    <w:p>
      <w:pPr>
        <w:spacing w:line="440" w:lineRule="exact"/>
        <w:ind w:firstLine="420" w:firstLineChars="200"/>
        <w:rPr>
          <w:rFonts w:hint="eastAsia" w:ascii="宋体" w:hAnsi="宋体" w:cs="宋体"/>
          <w:szCs w:val="21"/>
        </w:rPr>
      </w:pPr>
      <w:r>
        <w:rPr>
          <w:rFonts w:hint="eastAsia" w:ascii="宋体" w:hAnsi="宋体" w:cs="宋体"/>
          <w:szCs w:val="21"/>
        </w:rPr>
        <w:t>(2)承包人应保证自供的一切计量设备和用具符合国家度量衡标准的精度要求。</w:t>
      </w:r>
    </w:p>
    <w:p>
      <w:pPr>
        <w:spacing w:line="440" w:lineRule="exact"/>
        <w:ind w:firstLine="420" w:firstLineChars="200"/>
        <w:rPr>
          <w:rFonts w:hint="eastAsia" w:ascii="宋体" w:hAnsi="宋体" w:cs="宋体"/>
          <w:szCs w:val="21"/>
        </w:rPr>
      </w:pPr>
      <w:r>
        <w:rPr>
          <w:rFonts w:hint="eastAsia" w:ascii="宋体" w:hAnsi="宋体" w:cs="宋体"/>
          <w:szCs w:val="21"/>
        </w:rPr>
        <w:t>(3)除合同另有约定外，凡超出施工图纸所示和合同技术条款规定的有效工程量以外的超挖、超填工程量，施工附加量，加工、运输损耗量等均不予计量。</w:t>
      </w:r>
    </w:p>
    <w:p>
      <w:pPr>
        <w:spacing w:line="440" w:lineRule="exact"/>
        <w:ind w:firstLine="420" w:firstLineChars="200"/>
        <w:rPr>
          <w:rFonts w:hint="eastAsia" w:ascii="宋体" w:hAnsi="宋体" w:cs="宋体"/>
          <w:szCs w:val="21"/>
        </w:rPr>
      </w:pPr>
      <w:r>
        <w:rPr>
          <w:rFonts w:hint="eastAsia" w:ascii="宋体" w:hAnsi="宋体" w:cs="宋体"/>
          <w:szCs w:val="21"/>
        </w:rPr>
        <w:t>(4)根据合同完成的有效工程量，由承包人按施工图纸计算，或采用标准的计量设备进行秤量，并经监理人签认后，列入承包人的每月完成工程量报表。当分次结算累计工程量与按完成施工图纸所示及合同文件规定计算的有效工程量不一致时，以按完成施工图纸所示及合同文件规定计算的有效工程量为准。</w:t>
      </w:r>
    </w:p>
    <w:p>
      <w:pPr>
        <w:spacing w:line="440" w:lineRule="exact"/>
        <w:ind w:firstLine="420" w:firstLineChars="200"/>
        <w:rPr>
          <w:rFonts w:hint="eastAsia" w:ascii="宋体" w:hAnsi="宋体" w:cs="宋体"/>
          <w:szCs w:val="21"/>
        </w:rPr>
      </w:pPr>
      <w:r>
        <w:rPr>
          <w:rFonts w:hint="eastAsia" w:ascii="宋体" w:hAnsi="宋体" w:cs="宋体"/>
          <w:szCs w:val="21"/>
        </w:rPr>
        <w:t>(5)分次结算工程量的测量工作，应在监理人在场的情况下，由承包人负责。必要时，监理人有权指示承包人对结算工程量重新进行复核测量，并由监理人核查确认。</w:t>
      </w:r>
    </w:p>
    <w:p>
      <w:pPr>
        <w:spacing w:line="440" w:lineRule="exact"/>
        <w:rPr>
          <w:rFonts w:hint="eastAsia" w:ascii="宋体" w:hAnsi="宋体" w:cs="宋体"/>
          <w:szCs w:val="21"/>
        </w:rPr>
      </w:pPr>
      <w:r>
        <w:rPr>
          <w:rFonts w:hint="eastAsia" w:ascii="宋体" w:hAnsi="宋体" w:cs="宋体"/>
          <w:szCs w:val="21"/>
        </w:rPr>
        <w:t>1.10.2重量计量</w:t>
      </w:r>
    </w:p>
    <w:p>
      <w:pPr>
        <w:spacing w:line="440" w:lineRule="exact"/>
        <w:ind w:firstLine="420" w:firstLineChars="200"/>
        <w:rPr>
          <w:rFonts w:hint="eastAsia" w:ascii="宋体" w:hAnsi="宋体" w:cs="宋体"/>
          <w:szCs w:val="21"/>
        </w:rPr>
      </w:pPr>
      <w:r>
        <w:rPr>
          <w:rFonts w:hint="eastAsia" w:ascii="宋体" w:hAnsi="宋体" w:cs="宋体"/>
          <w:szCs w:val="21"/>
        </w:rPr>
        <w:t>(1)按施工图纸所示计算的有效重量以吨或千克为单位计量。</w:t>
      </w:r>
    </w:p>
    <w:p>
      <w:pPr>
        <w:spacing w:line="440" w:lineRule="exact"/>
        <w:ind w:firstLine="420" w:firstLineChars="200"/>
        <w:rPr>
          <w:rFonts w:hint="eastAsia" w:ascii="宋体" w:hAnsi="宋体" w:cs="宋体"/>
          <w:szCs w:val="21"/>
        </w:rPr>
      </w:pPr>
      <w:r>
        <w:rPr>
          <w:rFonts w:hint="eastAsia" w:ascii="宋体" w:hAnsi="宋体" w:cs="宋体"/>
          <w:szCs w:val="21"/>
        </w:rPr>
        <w:t>(2)凡以重量计量并需秤量的材料，由承包人合格的测量人员使用经国家计量监督部门检验合格的秤量设备，根据合同约定，在监理人指定的地点进行秤量。</w:t>
      </w:r>
    </w:p>
    <w:p>
      <w:pPr>
        <w:spacing w:line="440" w:lineRule="exact"/>
        <w:outlineLvl w:val="0"/>
        <w:rPr>
          <w:rFonts w:hint="eastAsia" w:ascii="宋体" w:hAnsi="宋体" w:cs="宋体"/>
          <w:szCs w:val="21"/>
        </w:rPr>
      </w:pPr>
      <w:bookmarkStart w:id="878" w:name="_Toc511564563"/>
      <w:bookmarkStart w:id="879" w:name="_Toc517383273"/>
      <w:r>
        <w:rPr>
          <w:rFonts w:hint="eastAsia" w:ascii="宋体" w:hAnsi="宋体" w:cs="宋体"/>
          <w:szCs w:val="21"/>
        </w:rPr>
        <w:t>1.10.3　面积计量</w:t>
      </w:r>
      <w:bookmarkEnd w:id="878"/>
      <w:bookmarkEnd w:id="879"/>
    </w:p>
    <w:p>
      <w:pPr>
        <w:spacing w:line="440" w:lineRule="exact"/>
        <w:ind w:firstLine="420" w:firstLineChars="200"/>
        <w:rPr>
          <w:rFonts w:hint="eastAsia" w:ascii="宋体" w:hAnsi="宋体" w:cs="宋体"/>
          <w:szCs w:val="21"/>
        </w:rPr>
      </w:pPr>
      <w:r>
        <w:rPr>
          <w:rFonts w:hint="eastAsia" w:ascii="宋体" w:hAnsi="宋体" w:cs="宋体"/>
          <w:szCs w:val="21"/>
        </w:rPr>
        <w:t>按施工图纸所示施工轮廓尺寸或结构物尺寸计算的有效面积以平方米为单位计量。</w:t>
      </w:r>
    </w:p>
    <w:p>
      <w:pPr>
        <w:spacing w:line="440" w:lineRule="exact"/>
        <w:outlineLvl w:val="0"/>
        <w:rPr>
          <w:rFonts w:hint="eastAsia" w:ascii="宋体" w:hAnsi="宋体" w:cs="宋体"/>
          <w:szCs w:val="21"/>
        </w:rPr>
      </w:pPr>
      <w:bookmarkStart w:id="880" w:name="_Toc517383274"/>
      <w:bookmarkStart w:id="881" w:name="_Toc511564564"/>
      <w:r>
        <w:rPr>
          <w:rFonts w:hint="eastAsia" w:ascii="宋体" w:hAnsi="宋体" w:cs="宋体"/>
          <w:szCs w:val="21"/>
        </w:rPr>
        <w:t>1.10.4　体积计量</w:t>
      </w:r>
      <w:bookmarkEnd w:id="880"/>
      <w:bookmarkEnd w:id="881"/>
    </w:p>
    <w:p>
      <w:pPr>
        <w:spacing w:line="440" w:lineRule="exact"/>
        <w:ind w:firstLine="420" w:firstLineChars="200"/>
        <w:rPr>
          <w:rFonts w:hint="eastAsia" w:ascii="宋体" w:hAnsi="宋体" w:cs="宋体"/>
          <w:szCs w:val="21"/>
        </w:rPr>
      </w:pPr>
      <w:r>
        <w:rPr>
          <w:rFonts w:hint="eastAsia" w:ascii="宋体" w:hAnsi="宋体" w:cs="宋体"/>
          <w:szCs w:val="21"/>
        </w:rPr>
        <w:t>按施工图纸所示施工轮廓尺寸或结构物尺寸计算的有效体积以立方米为单位计量。</w:t>
      </w:r>
    </w:p>
    <w:p>
      <w:pPr>
        <w:spacing w:line="440" w:lineRule="exact"/>
        <w:outlineLvl w:val="0"/>
        <w:rPr>
          <w:rFonts w:hint="eastAsia" w:ascii="宋体" w:hAnsi="宋体" w:cs="宋体"/>
          <w:szCs w:val="21"/>
        </w:rPr>
      </w:pPr>
      <w:bookmarkStart w:id="882" w:name="_Toc511564565"/>
      <w:bookmarkStart w:id="883" w:name="_Toc517383275"/>
      <w:r>
        <w:rPr>
          <w:rFonts w:hint="eastAsia" w:ascii="宋体" w:hAnsi="宋体" w:cs="宋体"/>
          <w:szCs w:val="21"/>
        </w:rPr>
        <w:t>1.10.5　长度计量</w:t>
      </w:r>
      <w:bookmarkEnd w:id="882"/>
      <w:bookmarkEnd w:id="883"/>
    </w:p>
    <w:p>
      <w:pPr>
        <w:spacing w:line="440" w:lineRule="exact"/>
        <w:ind w:firstLine="420" w:firstLineChars="200"/>
        <w:rPr>
          <w:rFonts w:hint="eastAsia" w:ascii="宋体" w:hAnsi="宋体" w:cs="宋体"/>
          <w:szCs w:val="21"/>
        </w:rPr>
      </w:pPr>
      <w:r>
        <w:rPr>
          <w:rFonts w:hint="eastAsia" w:ascii="宋体" w:hAnsi="宋体" w:cs="宋体"/>
          <w:szCs w:val="21"/>
        </w:rPr>
        <w:t>按施工图纸所示施工轮廓尺寸或结构物尺寸计算的有效长度以米为单位计量。</w:t>
      </w:r>
    </w:p>
    <w:p>
      <w:pPr>
        <w:spacing w:line="440" w:lineRule="exact"/>
        <w:outlineLvl w:val="0"/>
        <w:rPr>
          <w:rFonts w:hint="eastAsia" w:ascii="宋体" w:hAnsi="宋体" w:cs="宋体"/>
          <w:b/>
          <w:szCs w:val="21"/>
        </w:rPr>
      </w:pPr>
      <w:bookmarkStart w:id="884" w:name="_Toc517383276"/>
      <w:bookmarkStart w:id="885" w:name="_Toc511564566"/>
      <w:r>
        <w:rPr>
          <w:rFonts w:hint="eastAsia" w:ascii="宋体" w:hAnsi="宋体" w:cs="宋体"/>
          <w:b/>
          <w:szCs w:val="21"/>
        </w:rPr>
        <w:t>1.11 引用技术标准和规程规范的规定</w:t>
      </w:r>
      <w:bookmarkEnd w:id="884"/>
      <w:bookmarkEnd w:id="885"/>
    </w:p>
    <w:p>
      <w:pPr>
        <w:spacing w:line="440" w:lineRule="exact"/>
        <w:outlineLvl w:val="0"/>
        <w:rPr>
          <w:rFonts w:hint="eastAsia" w:ascii="宋体" w:hAnsi="宋体" w:cs="宋体"/>
          <w:szCs w:val="21"/>
        </w:rPr>
      </w:pPr>
      <w:bookmarkStart w:id="886" w:name="_Toc517383277"/>
      <w:bookmarkStart w:id="887" w:name="_Toc511564567"/>
      <w:r>
        <w:rPr>
          <w:rFonts w:hint="eastAsia" w:ascii="宋体" w:hAnsi="宋体" w:cs="宋体"/>
          <w:szCs w:val="21"/>
        </w:rPr>
        <w:t>1.11.1　遵守国家和行业标准的强制性规定</w:t>
      </w:r>
      <w:bookmarkEnd w:id="886"/>
      <w:bookmarkEnd w:id="887"/>
    </w:p>
    <w:p>
      <w:pPr>
        <w:spacing w:line="440" w:lineRule="exact"/>
        <w:ind w:firstLine="420" w:firstLineChars="200"/>
        <w:rPr>
          <w:rFonts w:hint="eastAsia" w:ascii="宋体" w:hAnsi="宋体" w:cs="宋体"/>
          <w:szCs w:val="21"/>
        </w:rPr>
      </w:pPr>
      <w:r>
        <w:rPr>
          <w:rFonts w:hint="eastAsia" w:ascii="宋体" w:hAnsi="宋体" w:cs="宋体"/>
          <w:szCs w:val="21"/>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spacing w:line="440" w:lineRule="exact"/>
        <w:outlineLvl w:val="0"/>
        <w:rPr>
          <w:rFonts w:hint="eastAsia" w:ascii="宋体" w:hAnsi="宋体" w:cs="宋体"/>
          <w:szCs w:val="21"/>
        </w:rPr>
      </w:pPr>
      <w:bookmarkStart w:id="888" w:name="_Toc511564568"/>
      <w:bookmarkStart w:id="889" w:name="_Toc517383278"/>
      <w:r>
        <w:rPr>
          <w:rFonts w:hint="eastAsia" w:ascii="宋体" w:hAnsi="宋体" w:cs="宋体"/>
          <w:szCs w:val="21"/>
        </w:rPr>
        <w:t>1.11.2　引用标准和规程规范以最新版本为准</w:t>
      </w:r>
      <w:bookmarkEnd w:id="888"/>
      <w:bookmarkEnd w:id="889"/>
    </w:p>
    <w:p>
      <w:pPr>
        <w:spacing w:line="440" w:lineRule="exact"/>
        <w:outlineLvl w:val="0"/>
        <w:rPr>
          <w:rFonts w:hint="eastAsia" w:ascii="宋体" w:hAnsi="宋体" w:cs="宋体"/>
          <w:b/>
          <w:szCs w:val="21"/>
        </w:rPr>
      </w:pPr>
      <w:bookmarkStart w:id="890" w:name="_Toc517383279"/>
      <w:bookmarkStart w:id="891" w:name="_Toc511564569"/>
      <w:r>
        <w:rPr>
          <w:rFonts w:hint="eastAsia" w:ascii="宋体" w:hAnsi="宋体" w:cs="宋体"/>
          <w:b/>
          <w:szCs w:val="21"/>
        </w:rPr>
        <w:t>1.12 工程保险</w:t>
      </w:r>
      <w:bookmarkEnd w:id="890"/>
      <w:bookmarkEnd w:id="891"/>
    </w:p>
    <w:p>
      <w:pPr>
        <w:spacing w:line="440" w:lineRule="exact"/>
        <w:outlineLvl w:val="0"/>
        <w:rPr>
          <w:rFonts w:hint="eastAsia" w:ascii="宋体" w:hAnsi="宋体" w:cs="宋体"/>
          <w:szCs w:val="21"/>
        </w:rPr>
      </w:pPr>
      <w:bookmarkStart w:id="892" w:name="_Toc517383280"/>
      <w:bookmarkStart w:id="893" w:name="_Toc511564570"/>
      <w:r>
        <w:rPr>
          <w:rFonts w:hint="eastAsia" w:ascii="宋体" w:hAnsi="宋体" w:cs="宋体"/>
          <w:szCs w:val="21"/>
        </w:rPr>
        <w:t>1.12.1　投保险种</w:t>
      </w:r>
      <w:bookmarkEnd w:id="892"/>
      <w:bookmarkEnd w:id="893"/>
    </w:p>
    <w:p>
      <w:pPr>
        <w:spacing w:line="440" w:lineRule="exact"/>
        <w:ind w:firstLine="420" w:firstLineChars="200"/>
        <w:rPr>
          <w:rFonts w:hint="eastAsia" w:ascii="宋体" w:hAnsi="宋体" w:cs="宋体"/>
          <w:szCs w:val="21"/>
        </w:rPr>
      </w:pPr>
      <w:r>
        <w:rPr>
          <w:rFonts w:hint="eastAsia" w:ascii="宋体" w:hAnsi="宋体" w:cs="宋体"/>
          <w:szCs w:val="21"/>
        </w:rPr>
        <w:t>发包人和承包人应按本合同通用合同条款第20条的约定投保以下险种：</w:t>
      </w:r>
    </w:p>
    <w:p>
      <w:pPr>
        <w:numPr>
          <w:ilvl w:val="0"/>
          <w:numId w:val="9"/>
        </w:numPr>
        <w:spacing w:line="440" w:lineRule="exact"/>
        <w:rPr>
          <w:rFonts w:hint="eastAsia" w:ascii="宋体" w:hAnsi="宋体" w:cs="宋体"/>
          <w:szCs w:val="21"/>
        </w:rPr>
      </w:pPr>
      <w:r>
        <w:rPr>
          <w:rFonts w:hint="eastAsia" w:ascii="宋体" w:hAnsi="宋体" w:cs="宋体"/>
          <w:szCs w:val="21"/>
        </w:rPr>
        <w:t>建筑安装工程一切险（包括材料和工程设备，由承包人负责投保）；</w:t>
      </w:r>
    </w:p>
    <w:p>
      <w:pPr>
        <w:numPr>
          <w:ilvl w:val="0"/>
          <w:numId w:val="9"/>
        </w:numPr>
        <w:spacing w:line="440" w:lineRule="exact"/>
        <w:rPr>
          <w:rFonts w:hint="eastAsia" w:ascii="宋体" w:hAnsi="宋体" w:cs="宋体"/>
          <w:szCs w:val="21"/>
        </w:rPr>
      </w:pPr>
      <w:r>
        <w:rPr>
          <w:rFonts w:hint="eastAsia" w:ascii="宋体" w:hAnsi="宋体" w:cs="宋体"/>
          <w:szCs w:val="21"/>
        </w:rPr>
        <w:t>人员工伤事故险（按各自管辖的人员投保）；</w:t>
      </w:r>
    </w:p>
    <w:p>
      <w:pPr>
        <w:numPr>
          <w:ilvl w:val="0"/>
          <w:numId w:val="9"/>
        </w:numPr>
        <w:spacing w:line="440" w:lineRule="exact"/>
        <w:rPr>
          <w:rFonts w:hint="eastAsia" w:ascii="宋体" w:hAnsi="宋体" w:cs="宋体"/>
          <w:szCs w:val="21"/>
        </w:rPr>
      </w:pPr>
      <w:r>
        <w:rPr>
          <w:rFonts w:hint="eastAsia" w:ascii="宋体" w:hAnsi="宋体" w:cs="宋体"/>
          <w:szCs w:val="21"/>
        </w:rPr>
        <w:t>人身意外伤害险（按各自管辖的人员投保）；</w:t>
      </w:r>
    </w:p>
    <w:p>
      <w:pPr>
        <w:numPr>
          <w:ilvl w:val="0"/>
          <w:numId w:val="9"/>
        </w:numPr>
        <w:spacing w:line="440" w:lineRule="exact"/>
        <w:rPr>
          <w:rFonts w:hint="eastAsia" w:ascii="宋体" w:hAnsi="宋体" w:cs="宋体"/>
          <w:szCs w:val="21"/>
        </w:rPr>
      </w:pPr>
      <w:r>
        <w:rPr>
          <w:rFonts w:hint="eastAsia" w:ascii="宋体" w:hAnsi="宋体" w:cs="宋体"/>
          <w:szCs w:val="21"/>
        </w:rPr>
        <w:t>第三者责任险（由承包人负责投保）；</w:t>
      </w:r>
    </w:p>
    <w:p>
      <w:pPr>
        <w:numPr>
          <w:ilvl w:val="0"/>
          <w:numId w:val="9"/>
        </w:numPr>
        <w:spacing w:line="440" w:lineRule="exact"/>
        <w:rPr>
          <w:rFonts w:hint="eastAsia" w:ascii="宋体" w:hAnsi="宋体" w:cs="宋体"/>
          <w:szCs w:val="21"/>
        </w:rPr>
      </w:pPr>
      <w:r>
        <w:rPr>
          <w:rFonts w:hint="eastAsia" w:ascii="宋体" w:hAnsi="宋体" w:cs="宋体"/>
          <w:szCs w:val="21"/>
        </w:rPr>
        <w:t>施工设备险（由承包人负责投保）。</w:t>
      </w:r>
    </w:p>
    <w:p>
      <w:pPr>
        <w:spacing w:line="440" w:lineRule="exact"/>
        <w:outlineLvl w:val="0"/>
        <w:rPr>
          <w:rFonts w:hint="eastAsia" w:ascii="宋体" w:hAnsi="宋体" w:cs="宋体"/>
          <w:szCs w:val="21"/>
        </w:rPr>
      </w:pPr>
      <w:bookmarkStart w:id="894" w:name="_Toc517383281"/>
      <w:bookmarkStart w:id="895" w:name="_Toc511564571"/>
      <w:r>
        <w:rPr>
          <w:rFonts w:hint="eastAsia" w:ascii="宋体" w:hAnsi="宋体" w:cs="宋体"/>
          <w:szCs w:val="21"/>
        </w:rPr>
        <w:t>1.12.2　保险费用</w:t>
      </w:r>
      <w:bookmarkEnd w:id="894"/>
      <w:bookmarkEnd w:id="895"/>
    </w:p>
    <w:p>
      <w:pPr>
        <w:spacing w:line="440" w:lineRule="exact"/>
        <w:ind w:firstLine="420" w:firstLineChars="200"/>
        <w:rPr>
          <w:rFonts w:hint="eastAsia" w:ascii="宋体" w:hAnsi="宋体" w:cs="宋体"/>
          <w:szCs w:val="21"/>
        </w:rPr>
      </w:pPr>
      <w:r>
        <w:rPr>
          <w:rFonts w:hint="eastAsia" w:ascii="宋体" w:hAnsi="宋体" w:cs="宋体"/>
          <w:szCs w:val="21"/>
        </w:rPr>
        <w:t>⑴ 承包人人员的工伤事故险和人身意外伤害险应由承包人按本合同通用合同条款第20.2款、第20.3款约定的责任和内容，为全部现场施工人员办理保险，保险费用包含在《工程量清单》相应项目总价中，发包人不另行支付。</w:t>
      </w:r>
    </w:p>
    <w:p>
      <w:pPr>
        <w:spacing w:line="440" w:lineRule="exact"/>
        <w:ind w:firstLine="420" w:firstLineChars="200"/>
        <w:rPr>
          <w:rFonts w:hint="eastAsia" w:ascii="宋体" w:hAnsi="宋体" w:cs="宋体"/>
          <w:szCs w:val="21"/>
        </w:rPr>
      </w:pPr>
      <w:r>
        <w:rPr>
          <w:rFonts w:hint="eastAsia" w:ascii="宋体" w:hAnsi="宋体" w:cs="宋体"/>
          <w:szCs w:val="21"/>
        </w:rPr>
        <w:t>⑵ 第三者责任险，承包人不需列报。</w:t>
      </w:r>
    </w:p>
    <w:p>
      <w:pPr>
        <w:spacing w:line="440" w:lineRule="exact"/>
        <w:ind w:firstLine="420" w:firstLineChars="200"/>
        <w:rPr>
          <w:rFonts w:hint="eastAsia" w:ascii="宋体" w:hAnsi="宋体" w:cs="宋体"/>
          <w:szCs w:val="21"/>
        </w:rPr>
      </w:pPr>
      <w:r>
        <w:rPr>
          <w:rFonts w:hint="eastAsia" w:ascii="宋体" w:hAnsi="宋体" w:cs="宋体"/>
          <w:szCs w:val="21"/>
        </w:rPr>
        <w:t>⑶ 施工设备险由承包人负责投保，保险费用包括在施工设备运行费内，发包人不另行支付。</w:t>
      </w:r>
    </w:p>
    <w:p>
      <w:pPr>
        <w:spacing w:line="440" w:lineRule="exact"/>
        <w:outlineLvl w:val="0"/>
        <w:rPr>
          <w:rFonts w:hint="eastAsia" w:ascii="宋体" w:hAnsi="宋体" w:cs="宋体"/>
          <w:b/>
          <w:szCs w:val="21"/>
        </w:rPr>
      </w:pPr>
      <w:bookmarkStart w:id="896" w:name="_Toc511564572"/>
      <w:bookmarkStart w:id="897" w:name="_Toc517383282"/>
      <w:r>
        <w:rPr>
          <w:rFonts w:hint="eastAsia" w:ascii="宋体" w:hAnsi="宋体" w:cs="宋体"/>
          <w:b/>
          <w:szCs w:val="21"/>
        </w:rPr>
        <w:t>1.13 工程价款支付方法</w:t>
      </w:r>
      <w:bookmarkEnd w:id="896"/>
      <w:bookmarkEnd w:id="897"/>
    </w:p>
    <w:p>
      <w:pPr>
        <w:spacing w:line="440" w:lineRule="exact"/>
        <w:outlineLvl w:val="0"/>
        <w:rPr>
          <w:rFonts w:hint="eastAsia" w:ascii="宋体" w:hAnsi="宋体" w:cs="宋体"/>
          <w:szCs w:val="21"/>
        </w:rPr>
      </w:pPr>
      <w:bookmarkStart w:id="898" w:name="_Toc517383283"/>
      <w:bookmarkStart w:id="899" w:name="_Toc511564573"/>
      <w:r>
        <w:rPr>
          <w:rFonts w:hint="eastAsia" w:ascii="宋体" w:hAnsi="宋体" w:cs="宋体"/>
          <w:szCs w:val="21"/>
        </w:rPr>
        <w:t>1.13.1　单价支付项目</w:t>
      </w:r>
      <w:bookmarkEnd w:id="898"/>
      <w:bookmarkEnd w:id="899"/>
    </w:p>
    <w:p>
      <w:pPr>
        <w:spacing w:line="440" w:lineRule="exact"/>
        <w:ind w:firstLine="420" w:firstLineChars="200"/>
        <w:rPr>
          <w:rFonts w:hint="eastAsia" w:ascii="宋体" w:hAnsi="宋体" w:cs="宋体"/>
          <w:szCs w:val="21"/>
        </w:rPr>
      </w:pPr>
      <w:r>
        <w:rPr>
          <w:rFonts w:hint="eastAsia" w:ascii="宋体" w:hAnsi="宋体" w:cs="宋体"/>
          <w:szCs w:val="21"/>
        </w:rPr>
        <w:t>除合同另有约定外，承包人在《工程量清单》以单价形式列报的所有工程项目，发包人均按《工程量清单》相应项目的工程单价支付。</w:t>
      </w:r>
    </w:p>
    <w:p>
      <w:pPr>
        <w:spacing w:line="440" w:lineRule="exact"/>
        <w:outlineLvl w:val="0"/>
        <w:rPr>
          <w:rFonts w:hint="eastAsia" w:ascii="宋体" w:hAnsi="宋体" w:cs="宋体"/>
          <w:szCs w:val="21"/>
        </w:rPr>
      </w:pPr>
      <w:bookmarkStart w:id="900" w:name="_Toc517383284"/>
      <w:bookmarkStart w:id="901" w:name="_Toc511564574"/>
      <w:r>
        <w:rPr>
          <w:rFonts w:hint="eastAsia" w:ascii="宋体" w:hAnsi="宋体" w:cs="宋体"/>
          <w:szCs w:val="21"/>
        </w:rPr>
        <w:t>1.13.2　一般总价支付项目</w:t>
      </w:r>
      <w:bookmarkEnd w:id="900"/>
      <w:bookmarkEnd w:id="901"/>
    </w:p>
    <w:p>
      <w:pPr>
        <w:spacing w:line="440" w:lineRule="exact"/>
        <w:ind w:firstLine="420" w:firstLineChars="200"/>
        <w:rPr>
          <w:rFonts w:hint="eastAsia" w:ascii="宋体" w:hAnsi="宋体" w:cs="宋体"/>
          <w:szCs w:val="21"/>
        </w:rPr>
      </w:pPr>
      <w:r>
        <w:rPr>
          <w:rFonts w:hint="eastAsia" w:ascii="宋体" w:hAnsi="宋体" w:cs="宋体"/>
          <w:szCs w:val="21"/>
        </w:rPr>
        <w:t>除合同另有约定外，承包人在《工程量清单》以总价形式列报的所有工程项目，发包人均按《工程量清单》相应项目(不包括以总价形式列报的暂列金额)的总价支付。</w:t>
      </w:r>
    </w:p>
    <w:p>
      <w:pPr>
        <w:spacing w:line="440" w:lineRule="exact"/>
        <w:outlineLvl w:val="0"/>
        <w:rPr>
          <w:rFonts w:hint="eastAsia" w:ascii="宋体" w:hAnsi="宋体" w:cs="宋体"/>
          <w:szCs w:val="21"/>
        </w:rPr>
      </w:pPr>
      <w:bookmarkStart w:id="902" w:name="_Toc511564575"/>
      <w:bookmarkStart w:id="903" w:name="_Toc517383285"/>
      <w:r>
        <w:rPr>
          <w:rFonts w:hint="eastAsia" w:ascii="宋体" w:hAnsi="宋体" w:cs="宋体"/>
          <w:szCs w:val="21"/>
        </w:rPr>
        <w:t>1.13.3　特殊约定的总价支付项目</w:t>
      </w:r>
      <w:bookmarkEnd w:id="902"/>
      <w:bookmarkEnd w:id="903"/>
    </w:p>
    <w:p>
      <w:pPr>
        <w:spacing w:line="440" w:lineRule="exact"/>
        <w:ind w:firstLine="420" w:firstLineChars="200"/>
        <w:rPr>
          <w:rFonts w:hint="eastAsia" w:ascii="宋体" w:hAnsi="宋体" w:cs="宋体"/>
          <w:szCs w:val="21"/>
        </w:rPr>
      </w:pPr>
      <w:r>
        <w:rPr>
          <w:rFonts w:hint="eastAsia" w:ascii="宋体" w:hAnsi="宋体" w:cs="宋体"/>
          <w:szCs w:val="21"/>
        </w:rPr>
        <w:t xml:space="preserve"> (1)保险费</w:t>
      </w:r>
    </w:p>
    <w:p>
      <w:pPr>
        <w:spacing w:line="440" w:lineRule="exact"/>
        <w:ind w:firstLine="420" w:firstLineChars="200"/>
        <w:rPr>
          <w:rFonts w:hint="eastAsia" w:ascii="宋体" w:hAnsi="宋体" w:cs="宋体"/>
          <w:szCs w:val="21"/>
        </w:rPr>
      </w:pPr>
      <w:r>
        <w:rPr>
          <w:rFonts w:hint="eastAsia" w:ascii="宋体" w:hAnsi="宋体" w:cs="宋体"/>
          <w:szCs w:val="21"/>
        </w:rPr>
        <w:t>发包人按本章第1.12节规定支付。</w:t>
      </w:r>
    </w:p>
    <w:p>
      <w:pPr>
        <w:spacing w:line="440" w:lineRule="exact"/>
        <w:ind w:firstLine="420" w:firstLineChars="200"/>
        <w:rPr>
          <w:rFonts w:hint="eastAsia" w:ascii="宋体" w:hAnsi="宋体" w:cs="宋体"/>
          <w:szCs w:val="21"/>
        </w:rPr>
      </w:pPr>
      <w:r>
        <w:rPr>
          <w:rFonts w:hint="eastAsia" w:ascii="宋体" w:hAnsi="宋体" w:cs="宋体"/>
          <w:szCs w:val="21"/>
        </w:rPr>
        <w:t>(2)其它费用</w:t>
      </w:r>
    </w:p>
    <w:p>
      <w:pPr>
        <w:spacing w:line="440" w:lineRule="exact"/>
        <w:ind w:firstLine="420" w:firstLineChars="200"/>
        <w:rPr>
          <w:rFonts w:hint="eastAsia" w:ascii="宋体" w:hAnsi="宋体" w:cs="宋体"/>
          <w:szCs w:val="21"/>
        </w:rPr>
      </w:pPr>
      <w:r>
        <w:rPr>
          <w:rFonts w:hint="eastAsia" w:ascii="宋体" w:hAnsi="宋体" w:cs="宋体"/>
          <w:szCs w:val="21"/>
        </w:rPr>
        <w:t>承包人按本章规定完成各项工作所发生的其它费用，均包含在项目的工程总价中，发包人不另行支付。</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pStyle w:val="15"/>
        <w:rPr>
          <w:rFonts w:hint="eastAsia" w:ascii="宋体" w:hAnsi="宋体" w:cs="宋体"/>
        </w:rPr>
      </w:pPr>
    </w:p>
    <w:p>
      <w:pPr>
        <w:rPr>
          <w:rFonts w:hint="eastAsia" w:ascii="宋体" w:hAnsi="宋体" w:cs="宋体"/>
        </w:rPr>
      </w:pPr>
    </w:p>
    <w:p>
      <w:pPr>
        <w:pStyle w:val="15"/>
        <w:rPr>
          <w:rFonts w:hint="eastAsia" w:ascii="宋体" w:hAnsi="宋体" w:cs="宋体"/>
        </w:rPr>
      </w:pPr>
    </w:p>
    <w:p>
      <w:pPr>
        <w:rPr>
          <w:rFonts w:hint="eastAsia" w:ascii="宋体" w:hAnsi="宋体" w:cs="宋体"/>
        </w:rPr>
      </w:pPr>
    </w:p>
    <w:p>
      <w:pPr>
        <w:pStyle w:val="15"/>
        <w:rPr>
          <w:rFonts w:hint="eastAsia" w:ascii="宋体" w:hAnsi="宋体" w:cs="宋体"/>
        </w:rPr>
      </w:pPr>
    </w:p>
    <w:p>
      <w:pPr>
        <w:rPr>
          <w:rFonts w:hint="eastAsia"/>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pStyle w:val="2"/>
        <w:spacing w:line="440" w:lineRule="exact"/>
        <w:jc w:val="center"/>
        <w:rPr>
          <w:rFonts w:ascii="宋体" w:hAnsi="宋体"/>
          <w:b w:val="0"/>
          <w:sz w:val="24"/>
          <w:szCs w:val="24"/>
        </w:rPr>
      </w:pPr>
      <w:bookmarkStart w:id="904" w:name="_Toc68789820"/>
      <w:bookmarkStart w:id="905" w:name="_Toc376160666"/>
      <w:r>
        <w:rPr>
          <w:rFonts w:ascii="宋体" w:hAnsi="宋体"/>
          <w:b w:val="0"/>
          <w:sz w:val="24"/>
          <w:szCs w:val="24"/>
        </w:rPr>
        <w:t>2. 施工临时设施</w:t>
      </w:r>
      <w:bookmarkEnd w:id="904"/>
      <w:bookmarkEnd w:id="905"/>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06" w:name="第02章01"/>
      <w:bookmarkEnd w:id="906"/>
      <w:bookmarkStart w:id="907" w:name="_Toc68789821"/>
      <w:bookmarkStart w:id="908" w:name="_Toc376159668"/>
      <w:bookmarkStart w:id="909" w:name="_Toc376160667"/>
      <w:r>
        <w:t>2.1 一般规定</w:t>
      </w:r>
      <w:bookmarkEnd w:id="907"/>
      <w:bookmarkEnd w:id="908"/>
      <w:bookmarkEnd w:id="909"/>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10" w:name="_Toc376159669"/>
      <w:bookmarkStart w:id="911" w:name="_Toc376160668"/>
      <w:bookmarkStart w:id="912" w:name="_Toc68789822"/>
      <w:r>
        <w:t>2.1.1 应用范围</w:t>
      </w:r>
      <w:bookmarkEnd w:id="910"/>
      <w:bookmarkEnd w:id="911"/>
      <w:bookmarkEnd w:id="912"/>
    </w:p>
    <w:p>
      <w:pPr>
        <w:keepNext w:val="0"/>
        <w:keepLines w:val="0"/>
        <w:pageBreakBefore w:val="0"/>
        <w:widowControl w:val="0"/>
        <w:kinsoku/>
        <w:wordWrap/>
        <w:overflowPunct/>
        <w:topLinePunct w:val="0"/>
        <w:autoSpaceDE/>
        <w:autoSpaceDN/>
        <w:bidi w:val="0"/>
        <w:adjustRightInd/>
        <w:snapToGrid/>
        <w:spacing w:line="360" w:lineRule="auto"/>
        <w:textAlignment w:val="auto"/>
      </w:pPr>
      <w:r>
        <w:t>　　本章规定适用于本合同工程施工临时设施的设计、施工及其附属设备的采购和配置、安装、运行、维护、管理和拆除等全部工作。其工作项目包括：现场施工测量、现场试验、施工交通、施工供电、施工供水、施工供风、施工照明、施工通信、邮政服务、砂石料料物开采加工系统、混凝土生产系统、机械修配厂、加工厂、仓库、存料场、弃料场以及施工现场办公和生活建筑设施等。</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13" w:name="_Toc376159670"/>
      <w:bookmarkStart w:id="914" w:name="_Toc68789823"/>
      <w:bookmarkStart w:id="915" w:name="_Toc376160669"/>
      <w:r>
        <w:t>2.1.2 承包人责任</w:t>
      </w:r>
      <w:bookmarkEnd w:id="913"/>
      <w:bookmarkEnd w:id="914"/>
      <w:bookmarkEnd w:id="915"/>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承包人应按本章第2.2节、第2.3节的规定，负责本工程的现场施工测量和现场试验工作。并对其提供的测量和试验成果负全部责任。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承包人应负责修建完成本章第2.4~2.15节所列的各项施工临时设施，并在各项永久工程建筑物施工前，完成全部施工临时设施及其附属设备的安装和试运行。</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承包人应按发包人提供的施工交通规划及本章第2.4节的规定，负责场内施工临时道路及其交通设施、设备的设计、施工、采购和配置、安装、运行和维护。</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(4) 承包人应按本章第2.5~2.9节的规定，负责设计和配置施工供水、供电、供风通信等施工临时设施。</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(5) 承包人应按本章第2.10~2.14节的规定，负责设计、建造砂石料加工系统、混凝土生产系统、钢筋加工、机械修配加工、汽车修理保养、仓储设施、弃渣场等的临时生产设施。</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(6) 承包人应按本章第2.15节的规定，负责现场办公和生活建筑等临时设施的规划、布置、设计、施工和维护，并应对现场办公和生活建筑物的使用安全负责。</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16" w:name="_Toc376159671"/>
      <w:bookmarkStart w:id="917" w:name="_Toc376160670"/>
      <w:bookmarkStart w:id="918" w:name="_Toc68789824"/>
      <w:r>
        <w:t>2.1.3 主要提交件</w:t>
      </w:r>
      <w:bookmarkEnd w:id="916"/>
      <w:bookmarkEnd w:id="917"/>
      <w:bookmarkEnd w:id="918"/>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承包人应按本技术条款第1.4.2条，以及批准的施工总布置设计和本章第2.4~2.15节的规定，编制各项施工临时设施的设计文件，提交监理人批准。其内容包括：</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施工临时设施布置图；</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施工工艺流程和(或)施工程序说明；</w:t>
      </w:r>
    </w:p>
    <w:p>
      <w:pPr>
        <w:keepNext w:val="0"/>
        <w:keepLines w:val="0"/>
        <w:pageBreakBefore w:val="0"/>
        <w:widowControl w:val="0"/>
        <w:kinsoku/>
        <w:wordWrap/>
        <w:overflowPunct/>
        <w:topLinePunct w:val="0"/>
        <w:autoSpaceDE/>
        <w:autoSpaceDN/>
        <w:bidi w:val="0"/>
        <w:adjustRightInd/>
        <w:snapToGrid/>
        <w:spacing w:line="360" w:lineRule="auto"/>
        <w:textAlignment w:val="auto"/>
      </w:pPr>
      <w:r>
        <w:t>安全和环境保护措施；</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(4) 施工期运行管理方式。</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19" w:name="_Toc376159672"/>
      <w:bookmarkStart w:id="920" w:name="_Toc376160671"/>
      <w:bookmarkStart w:id="921" w:name="_Toc68789825"/>
      <w:r>
        <w:t>2.1.4 引用标准</w:t>
      </w:r>
      <w:bookmarkEnd w:id="919"/>
      <w:bookmarkEnd w:id="920"/>
      <w:bookmarkEnd w:id="921"/>
    </w:p>
    <w:p>
      <w:pPr>
        <w:keepNext w:val="0"/>
        <w:keepLines w:val="0"/>
        <w:pageBreakBefore w:val="0"/>
        <w:widowControl w:val="0"/>
        <w:kinsoku/>
        <w:wordWrap/>
        <w:overflowPunct/>
        <w:topLinePunct w:val="0"/>
        <w:autoSpaceDE/>
        <w:autoSpaceDN/>
        <w:bidi w:val="0"/>
        <w:adjustRightInd/>
        <w:snapToGrid/>
        <w:spacing w:line="360" w:lineRule="auto"/>
        <w:textAlignment w:val="auto"/>
      </w:pPr>
      <w:r>
        <w:t>(1)《生活饮用水卫生标准》（GB5749-2006）；</w:t>
      </w:r>
    </w:p>
    <w:p>
      <w:pPr>
        <w:keepNext w:val="0"/>
        <w:keepLines w:val="0"/>
        <w:pageBreakBefore w:val="0"/>
        <w:widowControl w:val="0"/>
        <w:kinsoku/>
        <w:wordWrap/>
        <w:overflowPunct/>
        <w:topLinePunct w:val="0"/>
        <w:autoSpaceDE/>
        <w:autoSpaceDN/>
        <w:bidi w:val="0"/>
        <w:adjustRightInd/>
        <w:snapToGrid/>
        <w:spacing w:line="360" w:lineRule="auto"/>
        <w:textAlignment w:val="auto"/>
      </w:pPr>
      <w:r>
        <w:t>(2)《水工建筑物地下开挖工程施工规范》（SL378-2007）；</w:t>
      </w:r>
    </w:p>
    <w:p>
      <w:pPr>
        <w:keepNext w:val="0"/>
        <w:keepLines w:val="0"/>
        <w:pageBreakBefore w:val="0"/>
        <w:widowControl w:val="0"/>
        <w:kinsoku/>
        <w:wordWrap/>
        <w:overflowPunct/>
        <w:topLinePunct w:val="0"/>
        <w:autoSpaceDE/>
        <w:autoSpaceDN/>
        <w:bidi w:val="0"/>
        <w:adjustRightInd/>
        <w:snapToGrid/>
        <w:spacing w:line="360" w:lineRule="auto"/>
        <w:textAlignment w:val="auto"/>
      </w:pPr>
      <w:r>
        <w:t>(3)《水利水电工程施工组织设计规范》（SL303-2004）；</w:t>
      </w:r>
    </w:p>
    <w:p>
      <w:pPr>
        <w:keepNext w:val="0"/>
        <w:keepLines w:val="0"/>
        <w:pageBreakBefore w:val="0"/>
        <w:widowControl w:val="0"/>
        <w:kinsoku/>
        <w:wordWrap/>
        <w:overflowPunct/>
        <w:topLinePunct w:val="0"/>
        <w:autoSpaceDE/>
        <w:autoSpaceDN/>
        <w:bidi w:val="0"/>
        <w:adjustRightInd/>
        <w:snapToGrid/>
        <w:spacing w:line="360" w:lineRule="auto"/>
        <w:textAlignment w:val="auto"/>
      </w:pPr>
      <w:r>
        <w:t>(4)《水利水电工程施工测量规范》（SL52-2003）。</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22" w:name="第02章02"/>
      <w:bookmarkEnd w:id="922"/>
      <w:bookmarkStart w:id="923" w:name="_Toc68789826"/>
      <w:bookmarkStart w:id="924" w:name="_Toc376159673"/>
      <w:bookmarkStart w:id="925" w:name="_Toc376160672"/>
      <w:r>
        <w:t>2.2 现场施工测量</w:t>
      </w:r>
      <w:bookmarkEnd w:id="923"/>
      <w:bookmarkEnd w:id="924"/>
      <w:bookmarkEnd w:id="925"/>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承包人应按本合同通用合同条款的规定执行。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26" w:name="第02章03"/>
      <w:bookmarkEnd w:id="926"/>
      <w:bookmarkStart w:id="927" w:name="_Toc376159674"/>
      <w:bookmarkStart w:id="928" w:name="_Toc376160673"/>
      <w:bookmarkStart w:id="929" w:name="_Toc68789827"/>
      <w:r>
        <w:t>2.3 现场试验</w:t>
      </w:r>
      <w:bookmarkEnd w:id="927"/>
      <w:bookmarkEnd w:id="928"/>
      <w:bookmarkEnd w:id="929"/>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承包人应按本合同通用合同条款的规定执行。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30" w:name="第02章04"/>
      <w:bookmarkEnd w:id="930"/>
      <w:bookmarkStart w:id="931" w:name="_Toc376160674"/>
      <w:bookmarkStart w:id="932" w:name="_Toc68789828"/>
      <w:bookmarkStart w:id="933" w:name="_Toc376159675"/>
      <w:r>
        <w:t>2.4 施工交通</w:t>
      </w:r>
      <w:bookmarkEnd w:id="931"/>
      <w:bookmarkEnd w:id="932"/>
      <w:bookmarkEnd w:id="933"/>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34" w:name="_Toc376159676"/>
      <w:bookmarkStart w:id="935" w:name="_Toc376160675"/>
      <w:bookmarkStart w:id="936" w:name="_Toc68789829"/>
      <w:r>
        <w:t>2.4.1 场内施工道路</w:t>
      </w:r>
      <w:bookmarkEnd w:id="934"/>
      <w:bookmarkEnd w:id="935"/>
      <w:bookmarkEnd w:id="936"/>
    </w:p>
    <w:p>
      <w:pPr>
        <w:keepNext w:val="0"/>
        <w:keepLines w:val="0"/>
        <w:pageBreakBefore w:val="0"/>
        <w:widowControl w:val="0"/>
        <w:kinsoku/>
        <w:wordWrap/>
        <w:overflowPunct/>
        <w:topLinePunct w:val="0"/>
        <w:autoSpaceDE/>
        <w:autoSpaceDN/>
        <w:bidi w:val="0"/>
        <w:adjustRightInd/>
        <w:snapToGrid/>
        <w:spacing w:line="360" w:lineRule="auto"/>
        <w:textAlignment w:val="auto"/>
      </w:pPr>
      <w:r>
        <w:t>　　除本合同约定由发包人提供的施工道路外，承包人应负责修建本合同施工区内自发包人提供的道路至各施工点的全部施工道路、桥涵和停车场，并在合同实施期间负责管理和维护（包括管理和维护发包人提供的施工道路）。</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37" w:name="_Toc376159677"/>
      <w:bookmarkStart w:id="938" w:name="_Toc376160676"/>
      <w:bookmarkStart w:id="939" w:name="_Toc68789830"/>
      <w:r>
        <w:t>2.4.2 场外公共交通</w:t>
      </w:r>
      <w:bookmarkEnd w:id="937"/>
      <w:bookmarkEnd w:id="938"/>
      <w:bookmarkEnd w:id="939"/>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承包人应按本合同通用合同条款的规定执行。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40" w:name="第02章05"/>
      <w:bookmarkEnd w:id="940"/>
      <w:bookmarkStart w:id="941" w:name="_Toc376159678"/>
      <w:bookmarkStart w:id="942" w:name="_Toc376160677"/>
      <w:bookmarkStart w:id="943" w:name="_Toc68789831"/>
      <w:r>
        <w:t>2.5 施工供电</w:t>
      </w:r>
      <w:bookmarkEnd w:id="941"/>
      <w:bookmarkEnd w:id="942"/>
      <w:bookmarkEnd w:id="943"/>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44" w:name="_Toc376159679"/>
      <w:bookmarkStart w:id="945" w:name="_Toc376160678"/>
      <w:bookmarkStart w:id="946" w:name="_Toc68789832"/>
      <w:r>
        <w:t>2.5.1 施工电源</w:t>
      </w:r>
      <w:bookmarkEnd w:id="944"/>
      <w:bookmarkEnd w:id="945"/>
      <w:bookmarkEnd w:id="946"/>
    </w:p>
    <w:p>
      <w:pPr>
        <w:keepNext w:val="0"/>
        <w:keepLines w:val="0"/>
        <w:pageBreakBefore w:val="0"/>
        <w:widowControl w:val="0"/>
        <w:kinsoku/>
        <w:wordWrap/>
        <w:overflowPunct/>
        <w:topLinePunct w:val="0"/>
        <w:autoSpaceDE/>
        <w:autoSpaceDN/>
        <w:bidi w:val="0"/>
        <w:adjustRightInd/>
        <w:snapToGrid/>
        <w:spacing w:line="360" w:lineRule="auto"/>
        <w:textAlignment w:val="auto"/>
      </w:pPr>
      <w:r>
        <w:t>　　(1) 除合同另有约定外，</w:t>
      </w:r>
      <w:r>
        <w:rPr>
          <w:rFonts w:hint="eastAsia"/>
        </w:rPr>
        <w:t>本合同工程的一切施工供电</w:t>
      </w:r>
      <w:r>
        <w:t>设施均由承包人自行解决。</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承包人应负责设计、施工、采购、安装、调试、管理和维修由发包人施工电源输出端的接口处至所有施工区和生活区的输电线路、配电所及其全部配电装置和功率补偿装置。</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承包人应为其出现停电事故后急需恢复用电的重要工程部位(如基坑抽水、补救中断的混凝土浇筑、混凝土温控冷却水、办公和生活区的安全照明等)配备一定容量的事故备用电源，为紧急供电之用。</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47" w:name="_Toc376160679"/>
      <w:bookmarkStart w:id="948" w:name="_Toc68789833"/>
      <w:bookmarkStart w:id="949" w:name="_Toc376159680"/>
      <w:r>
        <w:t>2.5.2 施工用电计划</w:t>
      </w:r>
      <w:bookmarkEnd w:id="947"/>
      <w:bookmarkEnd w:id="948"/>
      <w:bookmarkEnd w:id="949"/>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承包人应在每年末、每季开始前　14　天向监理人提供下一年、各季度和各月的施工用电计划，并按监理人批准的用电计划执行。</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50" w:name="第02章06"/>
      <w:bookmarkEnd w:id="950"/>
      <w:bookmarkStart w:id="951" w:name="_Toc68789834"/>
      <w:bookmarkStart w:id="952" w:name="_Toc376159681"/>
      <w:bookmarkStart w:id="953" w:name="_Toc376160680"/>
      <w:r>
        <w:t>2.6 施工供水</w:t>
      </w:r>
      <w:bookmarkEnd w:id="951"/>
      <w:bookmarkEnd w:id="952"/>
      <w:bookmarkEnd w:id="953"/>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承包人应自行解决水源，负责提供本合同工程的施工和生活用水，其供水系统的总供水能力应不小于承包人每天所需的总用水量，水质应符合GB5749-2006有关的规定。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承包人应按本合同施工总布置的要求，负责设计、施工、采购、安装、管理和维修其施工区和生活区的供水系统，包括修建为保证正常供水的引水、储水和水处理设施等。</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承包人应负责向发包人和监理人提供现场办公和生活用水，包括引向发包人和监理人办公地点和生活区的引水、储水和水处理设施及其设备、设施的施工、安装和日常维修等工作。上述供水设施建设和日常供水费用包括在供水项目的总价内。</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(4) 为进入现场的其它承包人提供施工和生活用水方便，具体提供措施和收费办法由双方协商确定。</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54" w:name="第02章07"/>
      <w:bookmarkEnd w:id="954"/>
      <w:bookmarkStart w:id="955" w:name="_Toc68789835"/>
      <w:bookmarkStart w:id="956" w:name="_Toc376159682"/>
      <w:bookmarkStart w:id="957" w:name="_Toc376160681"/>
      <w:r>
        <w:t>2.7 施工供风</w:t>
      </w:r>
      <w:bookmarkEnd w:id="955"/>
      <w:bookmarkEnd w:id="956"/>
      <w:bookmarkEnd w:id="957"/>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承包人应负责提供本合同工程所需的施工供风，包括负责施工供风系统的设计、建造、运行管理和维护。</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58" w:name="第02章08"/>
      <w:bookmarkEnd w:id="958"/>
      <w:bookmarkStart w:id="959" w:name="_Toc376160682"/>
      <w:bookmarkStart w:id="960" w:name="_Toc68789836"/>
      <w:bookmarkStart w:id="961" w:name="_Toc376159683"/>
      <w:r>
        <w:t>2.8 施工照明</w:t>
      </w:r>
      <w:bookmarkEnd w:id="959"/>
      <w:bookmarkEnd w:id="960"/>
      <w:bookmarkEnd w:id="961"/>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承包人应负责设计、施工、采购、安装、管理和维修其工程所有施工作业区、办公区和生活区以及相关的道路、桥涵内的施工区照明线路和照明设施。</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承包人应按监理人指示，为进入现场工作的其它承包人施工和生活用电提供方便。</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62" w:name="第02章09"/>
      <w:bookmarkEnd w:id="962"/>
      <w:bookmarkStart w:id="963" w:name="_Toc376160683"/>
      <w:bookmarkStart w:id="964" w:name="_Toc376159684"/>
      <w:bookmarkStart w:id="965" w:name="_Toc68789837"/>
      <w:r>
        <w:t>2.9 施工通信和邮政服务</w:t>
      </w:r>
      <w:bookmarkEnd w:id="963"/>
      <w:bookmarkEnd w:id="964"/>
      <w:bookmarkEnd w:id="965"/>
    </w:p>
    <w:p>
      <w:pPr>
        <w:keepNext w:val="0"/>
        <w:keepLines w:val="0"/>
        <w:pageBreakBefore w:val="0"/>
        <w:widowControl w:val="0"/>
        <w:kinsoku/>
        <w:wordWrap/>
        <w:overflowPunct/>
        <w:topLinePunct w:val="0"/>
        <w:autoSpaceDE/>
        <w:autoSpaceDN/>
        <w:bidi w:val="0"/>
        <w:adjustRightInd/>
        <w:snapToGrid/>
        <w:spacing w:line="360" w:lineRule="auto"/>
        <w:textAlignment w:val="auto"/>
      </w:pPr>
      <w:r>
        <w:t>　　(1) 除合同另有约定外，承包人应自行与当地电信部门协商获得通信接口，其通信接口外的一切通信设施均由承包人自行解决。</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承包人应自行负责设计、施工、采购、安装、管理和维修其施工现场内部的通信服务设施。承包人应为发包人和其它承包人使用其内部通信设施提供方便。</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承包人应自行与当地邮政部门协商解决其施工现场邮政服务事宜。</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66" w:name="第02章10"/>
      <w:bookmarkEnd w:id="966"/>
      <w:bookmarkStart w:id="967" w:name="_Toc376159685"/>
      <w:bookmarkStart w:id="968" w:name="_Toc376160684"/>
      <w:bookmarkStart w:id="969" w:name="_Toc68789838"/>
      <w:r>
        <w:t>2.10 砂石料场开采加工系统</w:t>
      </w:r>
      <w:bookmarkEnd w:id="967"/>
      <w:bookmarkEnd w:id="968"/>
      <w:bookmarkEnd w:id="969"/>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70" w:name="_Toc68789839"/>
      <w:bookmarkStart w:id="971" w:name="_Toc376159686"/>
      <w:bookmarkStart w:id="972" w:name="_Toc376160685"/>
      <w:r>
        <w:t>2.10.1 承包人自建砂石料加工系统</w:t>
      </w:r>
      <w:bookmarkEnd w:id="970"/>
      <w:bookmarkEnd w:id="971"/>
      <w:bookmarkEnd w:id="972"/>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承包人应负责提供本合同工程施工所需的全部砂石料，并负责砂石料加工系统的设计和施工以及开采加工设备的采购、安装、调试、运行、管理和维护。</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承包人应按批准的施工进度计划和各种砂石料和土料的需用量确定各项加工设备的生产能力和规模，进行加工、储存和供料平衡，并应满足高峰用量的要求。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73" w:name="第02章11"/>
      <w:bookmarkEnd w:id="973"/>
      <w:bookmarkStart w:id="974" w:name="_Toc68789840"/>
      <w:bookmarkStart w:id="975" w:name="_Toc376159687"/>
      <w:bookmarkStart w:id="976" w:name="_Toc376160686"/>
      <w:r>
        <w:t>2.11 混凝土生产系统</w:t>
      </w:r>
      <w:bookmarkEnd w:id="974"/>
      <w:bookmarkEnd w:id="975"/>
      <w:bookmarkEnd w:id="976"/>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承包人应按施工图纸和本合同技术条款规定的温控要求，负责混凝土制冷（热）系统的设计和施工，并负责制冷（热）设备的采购、安装、调试、运行管理和维修。</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77" w:name="第02章12"/>
      <w:bookmarkEnd w:id="977"/>
      <w:bookmarkStart w:id="978" w:name="_Toc68789841"/>
      <w:bookmarkStart w:id="979" w:name="_Toc376160687"/>
      <w:bookmarkStart w:id="980" w:name="_Toc376159688"/>
      <w:r>
        <w:t>2.12 临时工厂设施</w:t>
      </w:r>
      <w:bookmarkEnd w:id="978"/>
      <w:bookmarkEnd w:id="979"/>
      <w:bookmarkEnd w:id="980"/>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承包人应按批准的施工总进度和施工图纸的要求，修建以下临时工厂设施，并各工厂设施施工前，将临时工厂设施的设计文件提交监理人批准。</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钢筋加工厂；</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木材加工厂；</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混凝土构件预制工厂；</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机械修配工厂；</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汽车保养站；</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(6) 钢结构加工厂（包括预装配场地）。</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81" w:name="第02章13"/>
      <w:bookmarkEnd w:id="981"/>
      <w:bookmarkStart w:id="982" w:name="_Toc68789842"/>
      <w:bookmarkStart w:id="983" w:name="_Toc376159689"/>
      <w:bookmarkStart w:id="984" w:name="_Toc376160688"/>
      <w:r>
        <w:t>2.13 仓库和堆、存料场</w:t>
      </w:r>
      <w:bookmarkEnd w:id="982"/>
      <w:bookmarkEnd w:id="983"/>
      <w:bookmarkEnd w:id="984"/>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承包人应按批准的施工组织设计和合同进度计划的要求，修建本工程的仓库和堆、存料场，并在开始施工前，将仓库和堆、存料场的设计图纸与文件提交监理人批准。</w:t>
      </w:r>
    </w:p>
    <w:p>
      <w:pPr>
        <w:keepNext w:val="0"/>
        <w:keepLines w:val="0"/>
        <w:pageBreakBefore w:val="0"/>
        <w:widowControl w:val="0"/>
        <w:kinsoku/>
        <w:wordWrap/>
        <w:overflowPunct/>
        <w:topLinePunct w:val="0"/>
        <w:autoSpaceDE/>
        <w:autoSpaceDN/>
        <w:bidi w:val="0"/>
        <w:adjustRightInd/>
        <w:snapToGrid/>
        <w:spacing w:line="360" w:lineRule="auto"/>
        <w:textAlignment w:val="auto"/>
      </w:pPr>
      <w:r>
        <w:t>(2) 承包人应负责本合同工程所需的各项材料和设备仓库的设计、修建、管理和维护。</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除合同另有约定外，储存炸药、雷管和油料等特殊材料仓库应按监理人批准的地点进行布置和修建，并应严格遵守国家有关安全管理的规定。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85" w:name="第02章14"/>
      <w:bookmarkEnd w:id="985"/>
      <w:bookmarkStart w:id="986" w:name="_Toc68789843"/>
      <w:bookmarkStart w:id="987" w:name="_Toc376159690"/>
      <w:bookmarkStart w:id="988" w:name="_Toc376160689"/>
      <w:r>
        <w:t>2.14 弃渣场</w:t>
      </w:r>
      <w:bookmarkEnd w:id="986"/>
      <w:bookmarkEnd w:id="987"/>
      <w:bookmarkEnd w:id="988"/>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承包人应按监理人批准的环境保护措施计划，在弃渣场周围及场地内设置防洪和排水设施，防止冲刷弃渣，造成水土流失。</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89" w:name="第02章15"/>
      <w:bookmarkEnd w:id="989"/>
      <w:bookmarkStart w:id="990" w:name="_Toc376160690"/>
      <w:bookmarkStart w:id="991" w:name="_Toc376159691"/>
      <w:bookmarkStart w:id="992" w:name="_Toc68789844"/>
      <w:r>
        <w:t>2.15 临时生产管理和生活设施</w:t>
      </w:r>
      <w:bookmarkEnd w:id="990"/>
      <w:bookmarkEnd w:id="991"/>
      <w:bookmarkEnd w:id="992"/>
    </w:p>
    <w:p>
      <w:pPr>
        <w:keepNext w:val="0"/>
        <w:keepLines w:val="0"/>
        <w:pageBreakBefore w:val="0"/>
        <w:widowControl w:val="0"/>
        <w:kinsoku/>
        <w:wordWrap/>
        <w:overflowPunct/>
        <w:topLinePunct w:val="0"/>
        <w:autoSpaceDE/>
        <w:autoSpaceDN/>
        <w:bidi w:val="0"/>
        <w:adjustRightInd/>
        <w:snapToGrid/>
        <w:spacing w:line="360" w:lineRule="auto"/>
        <w:textAlignment w:val="auto"/>
      </w:pPr>
      <w:r>
        <w:t>2.15.1 承包人临时生产管理和生活设施</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(1) 除合同另有约定外，承包人应负责其施工需要的全部临时生产管理与生活设施的设计、建造及其设备的采购、安装、管理和维护等。</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承包人应在收到开工通知后的　14　天内，按发包人批准的施工规划总布置，向监理人编制一份临时生产管理和生活设施的布置和房屋建筑物设计的图纸和文件提交监理人批准。</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93" w:name="_Toc376160691"/>
      <w:bookmarkStart w:id="994" w:name="_Toc376159692"/>
      <w:bookmarkStart w:id="995" w:name="_Toc68789845"/>
      <w:r>
        <w:t>2.15.2 发包人提供临时生产管理和生活设施</w:t>
      </w:r>
      <w:bookmarkEnd w:id="993"/>
      <w:bookmarkEnd w:id="994"/>
      <w:bookmarkEnd w:id="995"/>
    </w:p>
    <w:p>
      <w:pPr>
        <w:keepNext w:val="0"/>
        <w:keepLines w:val="0"/>
        <w:pageBreakBefore w:val="0"/>
        <w:widowControl w:val="0"/>
        <w:kinsoku/>
        <w:wordWrap/>
        <w:overflowPunct/>
        <w:topLinePunct w:val="0"/>
        <w:autoSpaceDE/>
        <w:autoSpaceDN/>
        <w:bidi w:val="0"/>
        <w:adjustRightInd/>
        <w:snapToGrid/>
        <w:spacing w:line="360" w:lineRule="auto"/>
        <w:textAlignment w:val="auto"/>
      </w:pPr>
      <w:r>
        <w:t>　　发包人可将已建成的办公管理和生活房屋建筑及其设施提供给承包人使用。具体管理办法由发包人和承包人另行签订协议。</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96" w:name="第02章16"/>
      <w:bookmarkEnd w:id="996"/>
      <w:bookmarkStart w:id="997" w:name="_Toc376160692"/>
      <w:bookmarkStart w:id="998" w:name="_Toc68789846"/>
      <w:bookmarkStart w:id="999" w:name="_Toc376159693"/>
      <w:bookmarkStart w:id="1000" w:name="_Hlt268425821"/>
      <w:r>
        <w:t>2.16 计量和支付</w:t>
      </w:r>
      <w:bookmarkEnd w:id="997"/>
      <w:bookmarkEnd w:id="998"/>
      <w:bookmarkEnd w:id="999"/>
    </w:p>
    <w:bookmarkEnd w:id="1000"/>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01" w:name="_Toc376160693"/>
      <w:bookmarkStart w:id="1002" w:name="_Toc376159694"/>
      <w:bookmarkStart w:id="1003" w:name="_Toc68789847"/>
      <w:r>
        <w:t>2.16.1 现场施工测量</w:t>
      </w:r>
      <w:bookmarkEnd w:id="1001"/>
      <w:bookmarkEnd w:id="1002"/>
      <w:bookmarkEnd w:id="1003"/>
    </w:p>
    <w:p>
      <w:pPr>
        <w:keepNext w:val="0"/>
        <w:keepLines w:val="0"/>
        <w:pageBreakBefore w:val="0"/>
        <w:widowControl w:val="0"/>
        <w:kinsoku/>
        <w:wordWrap/>
        <w:overflowPunct/>
        <w:topLinePunct w:val="0"/>
        <w:autoSpaceDE/>
        <w:autoSpaceDN/>
        <w:bidi w:val="0"/>
        <w:adjustRightInd/>
        <w:snapToGrid/>
        <w:spacing w:line="360" w:lineRule="auto"/>
        <w:textAlignment w:val="auto"/>
      </w:pPr>
      <w:r>
        <w:t>现场施工测量（包括根据合同约定由承包人测设的施工控制网、工程施工阶段的全部施工测量放样工作等）所需费用包含在《工程量清单》相应项目的工程单价或总价中，发包人不另行支付。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04" w:name="_Toc376160694"/>
      <w:bookmarkStart w:id="1005" w:name="_Toc376159695"/>
      <w:bookmarkStart w:id="1006" w:name="_Toc68789848"/>
      <w:r>
        <w:t>2.16.2 现场试验</w:t>
      </w:r>
      <w:bookmarkEnd w:id="1004"/>
      <w:bookmarkEnd w:id="1005"/>
      <w:bookmarkEnd w:id="1006"/>
    </w:p>
    <w:p>
      <w:pPr>
        <w:keepNext w:val="0"/>
        <w:keepLines w:val="0"/>
        <w:pageBreakBefore w:val="0"/>
        <w:widowControl w:val="0"/>
        <w:kinsoku/>
        <w:wordWrap/>
        <w:overflowPunct/>
        <w:topLinePunct w:val="0"/>
        <w:autoSpaceDE/>
        <w:autoSpaceDN/>
        <w:bidi w:val="0"/>
        <w:adjustRightInd/>
        <w:snapToGrid/>
        <w:spacing w:line="360" w:lineRule="auto"/>
        <w:textAlignment w:val="auto"/>
      </w:pPr>
      <w:r>
        <w:t>　　(1) 现场室内试验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t>承包人现场试验室的建设费用，包含在《工程量清单》相应项目的工程单价或总价中，发包人不另行支付。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现场工艺试验</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除合同另有约定外，现场工艺试验所需费用，包含在《工程量清单》相应项目的工程单价或总价中，发包人不另行支付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现场生产性试验</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除合同约定的大型现场生产性试验项目由发包人按《工程量清单》所列项目的总价支付外，其它各项生产性试验费用均包含在《工程量清单》相应项目的工程单价或总价中，发包人不另行支付。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07" w:name="_Toc68789849"/>
      <w:bookmarkStart w:id="1008" w:name="_Toc376159696"/>
      <w:bookmarkStart w:id="1009" w:name="_Toc376160695"/>
      <w:r>
        <w:t>2.16.3 施工交通设施</w:t>
      </w:r>
      <w:bookmarkEnd w:id="1007"/>
      <w:bookmarkEnd w:id="1008"/>
      <w:bookmarkEnd w:id="1009"/>
    </w:p>
    <w:p>
      <w:pPr>
        <w:keepNext w:val="0"/>
        <w:keepLines w:val="0"/>
        <w:pageBreakBefore w:val="0"/>
        <w:widowControl w:val="0"/>
        <w:kinsoku/>
        <w:wordWrap/>
        <w:overflowPunct/>
        <w:topLinePunct w:val="0"/>
        <w:autoSpaceDE/>
        <w:autoSpaceDN/>
        <w:bidi w:val="0"/>
        <w:adjustRightInd/>
        <w:snapToGrid/>
        <w:spacing w:line="360" w:lineRule="auto"/>
        <w:textAlignment w:val="auto"/>
      </w:pPr>
      <w:r>
        <w:t>　　(1) 除合同另有约定外，承包人根据合同要求完成场内施工道路的建设和施工期的管理维护工作所需的费用，</w:t>
      </w:r>
      <w:r>
        <w:rPr>
          <w:rFonts w:hint="eastAsia"/>
        </w:rPr>
        <w:t>均包含在其他临时工程中，发包人不另行支付</w:t>
      </w:r>
      <w: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场外公共交通的费用，除合同约定由承包人为场外公共交通修建和（或）维护的临时设施外，承包人在施工场地外的一切交通费用，均由承包人自行承担，发包人不另行支付。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承包人承担的超大、超重件的运输费用，均由承包人自行负责，发包人不另行支付。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10" w:name="_Toc68789850"/>
      <w:bookmarkStart w:id="1011" w:name="_Toc376159697"/>
      <w:bookmarkStart w:id="1012" w:name="_Toc376160696"/>
      <w:r>
        <w:t>2.16.4 施工及生活供电设施</w:t>
      </w:r>
      <w:bookmarkEnd w:id="1010"/>
      <w:bookmarkEnd w:id="1011"/>
      <w:bookmarkEnd w:id="1012"/>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除合同另有约定外，承包人根据合同要求完成施工用电设施的建设、移设和拆除工作所需的费用，所需费用包含在《工程量清单》相应项目的工程单价或总价中，发包人不另行支付。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13" w:name="_Toc376160697"/>
      <w:bookmarkStart w:id="1014" w:name="_Toc376159698"/>
      <w:bookmarkStart w:id="1015" w:name="_Toc68789851"/>
      <w:r>
        <w:t>2.16.5 施工及生活供水设施</w:t>
      </w:r>
      <w:bookmarkEnd w:id="1013"/>
      <w:bookmarkEnd w:id="1014"/>
      <w:bookmarkEnd w:id="1015"/>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除合同另有约定外，承包人根据合同要求完成施工及生活供水设施的建设、移设和拆除工作所需的费用，所需费用包含在《工程量清单》相应项目的工程单价或总价中，发包人不另行支付。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16" w:name="_Toc376159699"/>
      <w:bookmarkStart w:id="1017" w:name="_Toc68789852"/>
      <w:bookmarkStart w:id="1018" w:name="_Toc376160698"/>
      <w:r>
        <w:t>2.16.6 施工供风设施</w:t>
      </w:r>
      <w:bookmarkEnd w:id="1016"/>
      <w:bookmarkEnd w:id="1017"/>
      <w:bookmarkEnd w:id="1018"/>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除合同另有约定外，承包人根据合同要求完成施工供风设施的建设、移设和拆除工作所需的费用，所需费用</w:t>
      </w:r>
      <w:r>
        <w:rPr>
          <w:rFonts w:hint="eastAsia"/>
        </w:rPr>
        <w:t>均包含在其他临时工程中</w:t>
      </w:r>
      <w:r>
        <w:t>，发包人不另行支付。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19" w:name="_Toc376160699"/>
      <w:bookmarkStart w:id="1020" w:name="_Toc376159700"/>
      <w:bookmarkStart w:id="1021" w:name="_Toc68789853"/>
      <w:r>
        <w:t>2.16.7 施工照明设施</w:t>
      </w:r>
      <w:bookmarkEnd w:id="1019"/>
      <w:bookmarkEnd w:id="1020"/>
      <w:bookmarkEnd w:id="1021"/>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除合同另有约定外，承包人根据合同要求完成施工照明设施的建设、移置、维护管理和拆除工作所需的费用，所需费用包含在</w:t>
      </w:r>
      <w:r>
        <w:rPr>
          <w:rFonts w:hint="eastAsia"/>
        </w:rPr>
        <w:t>其他临时工程中</w:t>
      </w:r>
      <w:r>
        <w:t>，发包人不另行支付。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22" w:name="_Toc68789854"/>
      <w:bookmarkStart w:id="1023" w:name="_Toc376159701"/>
      <w:bookmarkStart w:id="1024" w:name="_Toc376160700"/>
      <w:r>
        <w:t>2.16.8 施工通信和邮政设施</w:t>
      </w:r>
      <w:bookmarkEnd w:id="1022"/>
      <w:bookmarkEnd w:id="1023"/>
      <w:bookmarkEnd w:id="1024"/>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除合同另有约定外，承包人根据合同要求完成现场施工通信和邮政设施的建设、移设、维护管理和拆除工作所需的费用，所需费用</w:t>
      </w:r>
      <w:r>
        <w:rPr>
          <w:rFonts w:hint="eastAsia"/>
        </w:rPr>
        <w:t>均包含在其他临时工程中</w:t>
      </w:r>
      <w:r>
        <w:t>，发包人不另行支付。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25" w:name="_Toc376160701"/>
      <w:bookmarkStart w:id="1026" w:name="_Toc376159702"/>
      <w:bookmarkStart w:id="1027" w:name="_Toc68789855"/>
      <w:r>
        <w:t>2.16.9 砂石料生产系统</w:t>
      </w:r>
      <w:bookmarkEnd w:id="1025"/>
      <w:bookmarkEnd w:id="1026"/>
      <w:bookmarkEnd w:id="1027"/>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除合同另有约定外，承包人根据合同要求完成砂石料生产系统的建设和拆除工作所需的费用，已包含在相应项目的单价中，发包人不另行支付。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28" w:name="_Toc68789856"/>
      <w:bookmarkStart w:id="1029" w:name="_Toc376159703"/>
      <w:bookmarkStart w:id="1030" w:name="_Toc376160702"/>
      <w:r>
        <w:t>2.16.10 混凝土生产系统</w:t>
      </w:r>
      <w:bookmarkEnd w:id="1028"/>
      <w:bookmarkEnd w:id="1029"/>
      <w:bookmarkEnd w:id="1030"/>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除合同另有约定外，承包人根据合同要求完成混凝土生产系统的建设和拆除工作所需的费用，包含在《工程量清单》相应的</w:t>
      </w:r>
      <w:r>
        <w:rPr>
          <w:rFonts w:hint="eastAsia"/>
        </w:rPr>
        <w:t>混凝土</w:t>
      </w:r>
      <w:r>
        <w:t>工程单价或总价中，发包人不另行支付。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31" w:name="_Toc376160703"/>
      <w:bookmarkStart w:id="1032" w:name="_Toc68789857"/>
      <w:bookmarkStart w:id="1033" w:name="_Toc376159704"/>
      <w:r>
        <w:t>2.16.11 附属加工厂</w:t>
      </w:r>
      <w:bookmarkEnd w:id="1031"/>
      <w:bookmarkEnd w:id="1032"/>
      <w:bookmarkEnd w:id="1033"/>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除合同另有约定外，承包人根据合同要求完成附属加工厂的建设、维护管理和拆除工作所需的费用，所需费用</w:t>
      </w:r>
      <w:r>
        <w:rPr>
          <w:rFonts w:hint="eastAsia"/>
        </w:rPr>
        <w:t>均包含在其他临时工程中</w:t>
      </w:r>
      <w:r>
        <w:t>，发包人不另行支付。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34" w:name="_Toc376159705"/>
      <w:bookmarkStart w:id="1035" w:name="_Toc376160704"/>
      <w:bookmarkStart w:id="1036" w:name="_Toc68789858"/>
      <w:r>
        <w:t>2.16.12 仓库和存料场</w:t>
      </w:r>
      <w:bookmarkEnd w:id="1034"/>
      <w:bookmarkEnd w:id="1035"/>
      <w:bookmarkEnd w:id="1036"/>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除合同另有约定外，承包人根据合同要求完成仓库或存料场的建设、维护管理和拆除工作所需的费用，所需费用</w:t>
      </w:r>
      <w:r>
        <w:rPr>
          <w:rFonts w:hint="eastAsia"/>
        </w:rPr>
        <w:t>均包含在其他临时工程中</w:t>
      </w:r>
      <w:r>
        <w:t>，发包人不另行支付。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37" w:name="_Toc68789859"/>
      <w:bookmarkStart w:id="1038" w:name="_Toc376159706"/>
      <w:bookmarkStart w:id="1039" w:name="_Toc376160705"/>
      <w:r>
        <w:t>2.16.13 弃渣场</w:t>
      </w:r>
      <w:bookmarkEnd w:id="1037"/>
      <w:bookmarkEnd w:id="1038"/>
      <w:bookmarkEnd w:id="1039"/>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除合同另有约定外，承包人根据合同要求完成弃渣场的建设和维护管理等工作所需的费用，所需费用包含在《工程量清单》相应项目的工程单价或总价中，发包人不另行支付。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40" w:name="_Toc376159707"/>
      <w:bookmarkStart w:id="1041" w:name="_Toc68789860"/>
      <w:bookmarkStart w:id="1042" w:name="_Toc376160706"/>
      <w:r>
        <w:t>2.16.14 临时生产管理和生活设施</w:t>
      </w:r>
      <w:bookmarkEnd w:id="1040"/>
      <w:bookmarkEnd w:id="1041"/>
      <w:bookmarkEnd w:id="1042"/>
    </w:p>
    <w:p>
      <w:pPr>
        <w:keepNext w:val="0"/>
        <w:keepLines w:val="0"/>
        <w:pageBreakBefore w:val="0"/>
        <w:widowControl w:val="0"/>
        <w:kinsoku/>
        <w:wordWrap/>
        <w:overflowPunct/>
        <w:topLinePunct w:val="0"/>
        <w:autoSpaceDE/>
        <w:autoSpaceDN/>
        <w:bidi w:val="0"/>
        <w:adjustRightInd/>
        <w:snapToGrid/>
        <w:spacing w:line="360" w:lineRule="auto"/>
        <w:textAlignment w:val="auto"/>
      </w:pPr>
      <w:r>
        <w:t>　　除合同另有约定外，承包人根据合同要求完成临时生产管理和生活设施的建设、移设、维护管理和拆除工作所需的费用，所需费用包含在《工程量清单》相应项目的工程单价或总价中，发包人不另行支付。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43" w:name="_Toc376159708"/>
      <w:bookmarkStart w:id="1044" w:name="_Toc376160707"/>
      <w:bookmarkStart w:id="1045" w:name="_Toc68789861"/>
      <w:r>
        <w:t>2.16.15 其它临时设施</w:t>
      </w:r>
      <w:bookmarkEnd w:id="1043"/>
      <w:bookmarkEnd w:id="1044"/>
      <w:bookmarkEnd w:id="1045"/>
    </w:p>
    <w:p>
      <w:pPr>
        <w:keepNext w:val="0"/>
        <w:keepLines w:val="0"/>
        <w:pageBreakBefore w:val="0"/>
        <w:widowControl w:val="0"/>
        <w:kinsoku/>
        <w:wordWrap/>
        <w:overflowPunct/>
        <w:topLinePunct w:val="0"/>
        <w:autoSpaceDE/>
        <w:autoSpaceDN/>
        <w:bidi w:val="0"/>
        <w:adjustRightInd/>
        <w:snapToGrid/>
        <w:spacing w:line="360" w:lineRule="auto"/>
        <w:textAlignment w:val="auto"/>
      </w:pPr>
      <w:r>
        <w:t>　　未列入《工程量清单》的其它临时设施，承包人根据合同要求完成这些设施的建设、移置、维护管理和拆除工作所需的费用，包含在相应永久工程项目的工程单价或总价中，发包</w:t>
      </w:r>
      <w:bookmarkStart w:id="1046" w:name="_Hlt268425333"/>
      <w:bookmarkEnd w:id="1046"/>
      <w:r>
        <w:t>人不另行支付。</w:t>
      </w:r>
    </w:p>
    <w:p>
      <w:pPr>
        <w:bidi w:val="0"/>
      </w:pPr>
    </w:p>
    <w:p>
      <w:pPr>
        <w:bidi w:val="0"/>
        <w:sectPr>
          <w:footerReference r:id="rId3" w:type="default"/>
          <w:pgSz w:w="11906" w:h="16838"/>
          <w:pgMar w:top="1985" w:right="1418" w:bottom="1418" w:left="1418" w:header="1418" w:footer="1134" w:gutter="0"/>
          <w:cols w:space="720" w:num="1"/>
          <w:docGrid w:type="lines" w:linePitch="312" w:charSpace="0"/>
        </w:sectPr>
      </w:pPr>
      <w:bookmarkStart w:id="1047" w:name="第03章"/>
      <w:bookmarkEnd w:id="1047"/>
    </w:p>
    <w:p>
      <w:pPr>
        <w:pStyle w:val="2"/>
        <w:spacing w:line="440" w:lineRule="exact"/>
        <w:jc w:val="center"/>
        <w:rPr>
          <w:rFonts w:ascii="宋体" w:hAnsi="宋体"/>
          <w:b w:val="0"/>
          <w:sz w:val="24"/>
          <w:szCs w:val="24"/>
        </w:rPr>
      </w:pPr>
      <w:bookmarkStart w:id="1048" w:name="_Toc376160708"/>
      <w:bookmarkStart w:id="1049" w:name="_Toc68789862"/>
      <w:r>
        <w:rPr>
          <w:rFonts w:ascii="宋体" w:hAnsi="宋体"/>
          <w:b w:val="0"/>
          <w:sz w:val="24"/>
          <w:szCs w:val="24"/>
        </w:rPr>
        <w:t>3. 施工安全措施</w:t>
      </w:r>
      <w:bookmarkEnd w:id="1048"/>
      <w:bookmarkEnd w:id="1049"/>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50" w:name="第03章01"/>
      <w:bookmarkEnd w:id="1050"/>
      <w:bookmarkStart w:id="1051" w:name="_Toc376160709"/>
      <w:bookmarkStart w:id="1052" w:name="_Toc68789863"/>
      <w:bookmarkStart w:id="1053" w:name="_Toc376159710"/>
      <w:r>
        <w:t>3.1 一般规定</w:t>
      </w:r>
      <w:bookmarkEnd w:id="1051"/>
      <w:bookmarkEnd w:id="1052"/>
      <w:bookmarkEnd w:id="1053"/>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54" w:name="_Toc376159711"/>
      <w:bookmarkStart w:id="1055" w:name="_Toc68789864"/>
      <w:bookmarkStart w:id="1056" w:name="_Toc376160710"/>
      <w:r>
        <w:t>3.1.1 应用范围</w:t>
      </w:r>
      <w:bookmarkEnd w:id="1054"/>
      <w:bookmarkEnd w:id="1055"/>
      <w:bookmarkEnd w:id="1056"/>
    </w:p>
    <w:p>
      <w:pPr>
        <w:keepNext w:val="0"/>
        <w:keepLines w:val="0"/>
        <w:pageBreakBefore w:val="0"/>
        <w:widowControl w:val="0"/>
        <w:kinsoku/>
        <w:wordWrap/>
        <w:overflowPunct/>
        <w:topLinePunct w:val="0"/>
        <w:autoSpaceDE/>
        <w:autoSpaceDN/>
        <w:bidi w:val="0"/>
        <w:adjustRightInd/>
        <w:snapToGrid/>
        <w:spacing w:line="360" w:lineRule="auto"/>
        <w:textAlignment w:val="auto"/>
      </w:pPr>
      <w:r>
        <w:t>　　本章适用于水利工程施工现场的安全管理工作包括：现场施工劳动保护、爆破作业、照明、场内交通、消防施工作业保护、洪水和气象灾害保护、施工安全监测等。</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57" w:name="_Toc68789865"/>
      <w:bookmarkStart w:id="1058" w:name="_Toc376159712"/>
      <w:bookmarkStart w:id="1059" w:name="_Toc376160711"/>
      <w:r>
        <w:t>3.1.2 承包人责任</w:t>
      </w:r>
      <w:bookmarkEnd w:id="1057"/>
      <w:bookmarkEnd w:id="1058"/>
      <w:bookmarkEnd w:id="1059"/>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承包人应按本合同通用合同条款第9.2款的约定和《水利水电工程施工通用安全技术规程》(SL398-2007)的规定履行其安全施工职责，对本工程的施工安全负责。</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坚持“安全第一，预防为主”的方针，建立、健全安全生产责任制度，制定各项安全生产规章制度和操作规程，建立完善的施工安全生产设施，健全安全生产保证体系，加强监督管理，切实保障全体人员的生命和财产安全。</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承包人应加强对职工进行施工安全教育，应按本章第3.2节规定的内容，编印安全保护手册发给全体职工。工人上岗前应进行安全操作的培训和考核。合格者才准上岗。</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(4) 承包人必须遵守国家颁布的有关安全规程。若承包人责任区内发生重大安全事故时，承包人应立即报告发包人，并在事故发生后24小时内提交事故情况的书面报告</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(5) 承包人应为施工作业人员配置必需的劳动保护用品。承包人应对其施工安全措施不到位而发生的安全事故承担责任。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(6) 承包人应负责全部施工作业的安全检查，建立专门的安全检查机构，配备专职的安检人员，进行经常性的安全生产检查，并及时作好安全记录。</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60" w:name="_Toc376159713"/>
      <w:bookmarkStart w:id="1061" w:name="_Toc68789866"/>
      <w:bookmarkStart w:id="1062" w:name="_Toc376160712"/>
      <w:r>
        <w:t>3.1.3 主要提交件</w:t>
      </w:r>
      <w:bookmarkEnd w:id="1060"/>
      <w:bookmarkEnd w:id="1061"/>
      <w:bookmarkEnd w:id="1062"/>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承包人应在本工程开工前　</w:t>
      </w:r>
      <w:r>
        <w:rPr>
          <w:rFonts w:hint="eastAsia"/>
        </w:rPr>
        <w:t>5</w:t>
      </w:r>
      <w:r>
        <w:t>　天，根据《中华人民共和国安全生产法》、《中华人民共和国消防法》、《中华人民共和国道路交通安全法》、《中华人民共和国传染病防治法》、《水利工程建设安全生产管理规定》等国家行业和地方有关法规，以及本章第3.2.1条规定的内容和要求，编制一份施工安全措施计划，提交监理人批准。</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承包人应在每年、每季和每月的进度报告中，按本章规定的各项安全工作内容，详细说明本工程安全措施计划的实施情况，以及按规定的格式提交安全检查和事故处理记录。</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63" w:name="_Toc376159714"/>
      <w:bookmarkStart w:id="1064" w:name="_Toc376160713"/>
      <w:bookmarkStart w:id="1065" w:name="_Toc68789867"/>
      <w:r>
        <w:t>3.1.4 引用的法律法规</w:t>
      </w:r>
      <w:bookmarkEnd w:id="1063"/>
      <w:bookmarkEnd w:id="1064"/>
      <w:bookmarkEnd w:id="1065"/>
    </w:p>
    <w:p>
      <w:pPr>
        <w:keepNext w:val="0"/>
        <w:keepLines w:val="0"/>
        <w:pageBreakBefore w:val="0"/>
        <w:widowControl w:val="0"/>
        <w:kinsoku/>
        <w:wordWrap/>
        <w:overflowPunct/>
        <w:topLinePunct w:val="0"/>
        <w:autoSpaceDE/>
        <w:autoSpaceDN/>
        <w:bidi w:val="0"/>
        <w:adjustRightInd/>
        <w:snapToGrid/>
        <w:spacing w:line="360" w:lineRule="auto"/>
        <w:textAlignment w:val="auto"/>
      </w:pPr>
      <w:r>
        <w:t>《水利工程建设安全生产管理规定》；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r>
        <w:t>《安全技术措施计划的项目总名称表》；</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《中华人民共和国道路交通安全法》；</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《中华人民共和国安全生产法》；</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《中华人民共和国消防法》；</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《中华人民共和国传染病防治法实施办法》；</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《中华人民共和国食品卫生法》；</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《中华人民共和国劳动法》。</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66" w:name="_Toc376159715"/>
      <w:bookmarkStart w:id="1067" w:name="_Toc68789868"/>
      <w:bookmarkStart w:id="1068" w:name="_Toc376160714"/>
      <w:r>
        <w:t>3.1.5 引用标准</w:t>
      </w:r>
      <w:bookmarkEnd w:id="1066"/>
      <w:bookmarkEnd w:id="1067"/>
      <w:bookmarkEnd w:id="1068"/>
    </w:p>
    <w:p>
      <w:pPr>
        <w:keepNext w:val="0"/>
        <w:keepLines w:val="0"/>
        <w:pageBreakBefore w:val="0"/>
        <w:widowControl w:val="0"/>
        <w:kinsoku/>
        <w:wordWrap/>
        <w:overflowPunct/>
        <w:topLinePunct w:val="0"/>
        <w:autoSpaceDE/>
        <w:autoSpaceDN/>
        <w:bidi w:val="0"/>
        <w:adjustRightInd/>
        <w:snapToGrid/>
        <w:spacing w:line="360" w:lineRule="auto"/>
        <w:textAlignment w:val="auto"/>
      </w:pPr>
      <w:r>
        <w:t>《爆破安全规程》（GB6722-2003）；</w:t>
      </w:r>
    </w:p>
    <w:p>
      <w:pPr>
        <w:keepNext w:val="0"/>
        <w:keepLines w:val="0"/>
        <w:pageBreakBefore w:val="0"/>
        <w:widowControl w:val="0"/>
        <w:kinsoku/>
        <w:wordWrap/>
        <w:overflowPunct/>
        <w:topLinePunct w:val="0"/>
        <w:autoSpaceDE/>
        <w:autoSpaceDN/>
        <w:bidi w:val="0"/>
        <w:adjustRightInd/>
        <w:snapToGrid/>
        <w:spacing w:line="360" w:lineRule="auto"/>
        <w:textAlignment w:val="auto"/>
      </w:pPr>
      <w:r>
        <w:t>《安全标志及其使用导则》（GB2894-2008）；</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《水利水电工程施工通用安全技术规程》（SL398-2007）；</w:t>
      </w:r>
    </w:p>
    <w:p>
      <w:pPr>
        <w:keepNext w:val="0"/>
        <w:keepLines w:val="0"/>
        <w:pageBreakBefore w:val="0"/>
        <w:widowControl w:val="0"/>
        <w:kinsoku/>
        <w:wordWrap/>
        <w:overflowPunct/>
        <w:topLinePunct w:val="0"/>
        <w:autoSpaceDE/>
        <w:autoSpaceDN/>
        <w:bidi w:val="0"/>
        <w:adjustRightInd/>
        <w:snapToGrid/>
        <w:spacing w:line="360" w:lineRule="auto"/>
        <w:textAlignment w:val="auto"/>
      </w:pPr>
      <w:r>
        <w:t>《水利水电工程金属结构与机电设备安装安全技术规程》（SL400-2007）；</w:t>
      </w:r>
    </w:p>
    <w:p>
      <w:pPr>
        <w:keepNext w:val="0"/>
        <w:keepLines w:val="0"/>
        <w:pageBreakBefore w:val="0"/>
        <w:widowControl w:val="0"/>
        <w:kinsoku/>
        <w:wordWrap/>
        <w:overflowPunct/>
        <w:topLinePunct w:val="0"/>
        <w:autoSpaceDE/>
        <w:autoSpaceDN/>
        <w:bidi w:val="0"/>
        <w:adjustRightInd/>
        <w:snapToGrid/>
        <w:spacing w:line="360" w:lineRule="auto"/>
        <w:textAlignment w:val="auto"/>
      </w:pPr>
      <w:r>
        <w:t>《职业健康安全管理体系规范》（GB/T28001-2011）。</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69" w:name="第03章02"/>
      <w:bookmarkEnd w:id="1069"/>
      <w:bookmarkStart w:id="1070" w:name="_Toc376159716"/>
      <w:bookmarkStart w:id="1071" w:name="_Toc376160715"/>
      <w:bookmarkStart w:id="1072" w:name="_Toc68789869"/>
      <w:r>
        <w:t>3.2 施工安全措施</w:t>
      </w:r>
      <w:bookmarkEnd w:id="1070"/>
      <w:bookmarkEnd w:id="1071"/>
      <w:bookmarkEnd w:id="1072"/>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73" w:name="_Toc376159717"/>
      <w:bookmarkStart w:id="1074" w:name="_Toc68789870"/>
      <w:bookmarkStart w:id="1075" w:name="_Toc376160716"/>
      <w:r>
        <w:t>3.2.1 施工安全措施计划</w:t>
      </w:r>
      <w:bookmarkEnd w:id="1073"/>
      <w:bookmarkEnd w:id="1074"/>
      <w:bookmarkEnd w:id="1075"/>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按本章第3.1.3条的规定提交施工安全措施计划，其内容应包括施工安全机构的设置、专职安全人员的配备，以及防洪、防火、防毒、防噪声、防爆破烟尘、救护、警报、治安和炸药管理等。施工安全措施的项目和范围，还应符合国家颁发的《安全技术措施计划的项目总名称表》及其附录H、I、J的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76" w:name="_Toc68789871"/>
      <w:bookmarkStart w:id="1077" w:name="_Toc376159718"/>
      <w:bookmarkStart w:id="1078" w:name="_Toc376160717"/>
      <w:r>
        <w:t>3.2.2 劳动保护</w:t>
      </w:r>
      <w:bookmarkEnd w:id="1076"/>
      <w:bookmarkEnd w:id="1077"/>
      <w:bookmarkEnd w:id="1078"/>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承包人应定期向所有现场施工人员发放安全帽、水鞋、雨衣、手套、手灯、防护面具和安全带等劳动保护用品，以及特殊工种作业人员的劳动保护津贴和营养补助等。</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按《中华人民共和国劳动法》的有关规定安排现场作业人员的劳动和休息时间，加班时间不得超过《中华人民共和国劳动法》第四章的规定。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79" w:name="_Toc376159719"/>
      <w:bookmarkStart w:id="1080" w:name="_Toc376160718"/>
      <w:bookmarkStart w:id="1081" w:name="_Toc68789872"/>
      <w:r>
        <w:t>3.2.3 伤病防治和卫生保健</w:t>
      </w:r>
      <w:bookmarkEnd w:id="1079"/>
      <w:bookmarkEnd w:id="1080"/>
      <w:bookmarkEnd w:id="1081"/>
    </w:p>
    <w:p>
      <w:pPr>
        <w:keepNext w:val="0"/>
        <w:keepLines w:val="0"/>
        <w:pageBreakBefore w:val="0"/>
        <w:widowControl w:val="0"/>
        <w:kinsoku/>
        <w:wordWrap/>
        <w:overflowPunct/>
        <w:topLinePunct w:val="0"/>
        <w:autoSpaceDE/>
        <w:autoSpaceDN/>
        <w:bidi w:val="0"/>
        <w:adjustRightInd/>
        <w:snapToGrid/>
        <w:spacing w:line="360" w:lineRule="auto"/>
        <w:textAlignment w:val="auto"/>
      </w:pPr>
      <w:r>
        <w:t>(1) 承包人应在施工现场设置医疗卫生机构，负责施工人员的伤病防治和卫生保健工作。</w:t>
      </w:r>
    </w:p>
    <w:p>
      <w:pPr>
        <w:keepNext w:val="0"/>
        <w:keepLines w:val="0"/>
        <w:pageBreakBefore w:val="0"/>
        <w:widowControl w:val="0"/>
        <w:kinsoku/>
        <w:wordWrap/>
        <w:overflowPunct/>
        <w:topLinePunct w:val="0"/>
        <w:autoSpaceDE/>
        <w:autoSpaceDN/>
        <w:bidi w:val="0"/>
        <w:adjustRightInd/>
        <w:snapToGrid/>
        <w:spacing w:line="360" w:lineRule="auto"/>
        <w:textAlignment w:val="auto"/>
      </w:pPr>
      <w:r>
        <w:t>(2) 施工人员进入生活区和作业面前，应对环境进行卫生清理，以及采取消毒、杀虫、灭鼠等卫生措施，并对饮用水进行消毒。</w:t>
      </w:r>
    </w:p>
    <w:p>
      <w:pPr>
        <w:keepNext w:val="0"/>
        <w:keepLines w:val="0"/>
        <w:pageBreakBefore w:val="0"/>
        <w:widowControl w:val="0"/>
        <w:kinsoku/>
        <w:wordWrap/>
        <w:overflowPunct/>
        <w:topLinePunct w:val="0"/>
        <w:autoSpaceDE/>
        <w:autoSpaceDN/>
        <w:bidi w:val="0"/>
        <w:adjustRightInd/>
        <w:snapToGrid/>
        <w:spacing w:line="360" w:lineRule="auto"/>
        <w:textAlignment w:val="auto"/>
      </w:pPr>
      <w:r>
        <w:t>(3) 及时做好病源和疫情监测。一旦发现疫情，应立即采取措施控制感染源和感染者。</w:t>
      </w:r>
    </w:p>
    <w:p>
      <w:pPr>
        <w:keepNext w:val="0"/>
        <w:keepLines w:val="0"/>
        <w:pageBreakBefore w:val="0"/>
        <w:widowControl w:val="0"/>
        <w:kinsoku/>
        <w:wordWrap/>
        <w:overflowPunct/>
        <w:topLinePunct w:val="0"/>
        <w:autoSpaceDE/>
        <w:autoSpaceDN/>
        <w:bidi w:val="0"/>
        <w:adjustRightInd/>
        <w:snapToGrid/>
        <w:spacing w:line="360" w:lineRule="auto"/>
        <w:textAlignment w:val="auto"/>
      </w:pPr>
      <w:r>
        <w:t>(4) 职工食堂应严格执行《中华人民共和国食品卫生法》的有关规定。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r>
        <w:t>(5) 所有传染病人、病原携带者和疑似病人一律不得从事易于使该病传播的工作。</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82" w:name="_Toc376160719"/>
      <w:bookmarkStart w:id="1083" w:name="_Toc376159720"/>
      <w:bookmarkStart w:id="1084" w:name="_Toc68789873"/>
      <w:r>
        <w:t>3.2.4 危险物品的安全管理</w:t>
      </w:r>
      <w:bookmarkEnd w:id="1082"/>
      <w:bookmarkEnd w:id="1083"/>
      <w:bookmarkEnd w:id="1084"/>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承包人运输和存放爆破器材，应遵守SL398-2007第8.3.3条、第8.3.4条的规定；油料的运输和管理应遵守SL398-2007第11.5节的规定。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85" w:name="_Toc68789874"/>
      <w:bookmarkStart w:id="1086" w:name="_Toc376160720"/>
      <w:bookmarkStart w:id="1087" w:name="_Toc376159721"/>
      <w:r>
        <w:t>3.2.5 照明安全</w:t>
      </w:r>
      <w:bookmarkEnd w:id="1085"/>
      <w:bookmarkEnd w:id="1086"/>
      <w:bookmarkEnd w:id="1087"/>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承包人应在施工作业区、施工道路、临时设施、办公区和生活区设置足够的照明，</w:t>
      </w:r>
      <w:r>
        <w:rPr>
          <w:rFonts w:hint="eastAsia"/>
        </w:rPr>
        <w:t>布置</w:t>
      </w:r>
      <w:r>
        <w:t>照明设施符合</w:t>
      </w:r>
      <w:r>
        <w:rPr>
          <w:rFonts w:hint="eastAsia"/>
        </w:rPr>
        <w:t>相关规范</w:t>
      </w:r>
      <w: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88" w:name="_Toc68789875"/>
      <w:bookmarkStart w:id="1089" w:name="_Toc376160721"/>
      <w:bookmarkStart w:id="1090" w:name="_Toc376159722"/>
      <w:r>
        <w:t>3.2.6 接地及防雷装置</w:t>
      </w:r>
      <w:bookmarkEnd w:id="1088"/>
      <w:bookmarkEnd w:id="1089"/>
      <w:bookmarkEnd w:id="1090"/>
    </w:p>
    <w:p>
      <w:pPr>
        <w:keepNext w:val="0"/>
        <w:keepLines w:val="0"/>
        <w:pageBreakBefore w:val="0"/>
        <w:widowControl w:val="0"/>
        <w:kinsoku/>
        <w:wordWrap/>
        <w:overflowPunct/>
        <w:topLinePunct w:val="0"/>
        <w:autoSpaceDE/>
        <w:autoSpaceDN/>
        <w:bidi w:val="0"/>
        <w:adjustRightInd/>
        <w:snapToGrid/>
        <w:spacing w:line="360" w:lineRule="auto"/>
        <w:textAlignment w:val="auto"/>
      </w:pPr>
      <w:r>
        <w:t>　　接地及防雷装置应符合SL398-2007第4.2节接地（接零）与防雷规定的要求。凡可能漏电伤人或易受雷击的电器及建筑物均应设置接地或防雷装置。</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91" w:name="_Toc68789876"/>
      <w:bookmarkStart w:id="1092" w:name="_Toc376160722"/>
      <w:bookmarkStart w:id="1093" w:name="_Toc376159723"/>
      <w:r>
        <w:t>3.2.7 防有毒，有害物品的控制</w:t>
      </w:r>
      <w:bookmarkEnd w:id="1091"/>
      <w:bookmarkEnd w:id="1092"/>
      <w:bookmarkEnd w:id="1093"/>
    </w:p>
    <w:p>
      <w:pPr>
        <w:keepNext w:val="0"/>
        <w:keepLines w:val="0"/>
        <w:pageBreakBefore w:val="0"/>
        <w:widowControl w:val="0"/>
        <w:kinsoku/>
        <w:wordWrap/>
        <w:overflowPunct/>
        <w:topLinePunct w:val="0"/>
        <w:autoSpaceDE/>
        <w:autoSpaceDN/>
        <w:bidi w:val="0"/>
        <w:adjustRightInd/>
        <w:snapToGrid/>
        <w:spacing w:line="360" w:lineRule="auto"/>
        <w:textAlignment w:val="auto"/>
      </w:pPr>
      <w:r>
        <w:t>　　承包人应遵守SL378-2007第11.3节防尘、有害气体的规定。</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94" w:name="_Toc68789877"/>
      <w:bookmarkStart w:id="1095" w:name="_Toc376159724"/>
      <w:bookmarkStart w:id="1096" w:name="_Toc376160723"/>
      <w:r>
        <w:t>3.2.8 爆破作业安全</w:t>
      </w:r>
      <w:bookmarkEnd w:id="1094"/>
      <w:bookmarkEnd w:id="1095"/>
      <w:bookmarkEnd w:id="1096"/>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承包人的施工爆破作业应严格遵照GB6722-2003及国家有关爆破安全管理的规定、承包人应对爆破造成的工程和人身损害和财产损失承担责任。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对实施电引爆的作业区，承包人应采用必要的特殊安全装置，以防止暴风雨时的大气或邻近电气设备放电的影响。特殊安全装置应经过试验证明其确保安全可靠时方可使用。试验报告应提交监理人。</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当承包人的现场爆破作业对其它承包人的施工造成干扰及影响临近设施和人员的安全时，应由监理人协调解决、现场爆破时，各方均应服从爆破作业指挥人员的命令。</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097" w:name="_Toc376159725"/>
      <w:bookmarkStart w:id="1098" w:name="_Toc68789878"/>
      <w:bookmarkStart w:id="1099" w:name="_Toc376160724"/>
      <w:r>
        <w:t>3.2.9 消防</w:t>
      </w:r>
      <w:bookmarkEnd w:id="1097"/>
      <w:bookmarkEnd w:id="1098"/>
      <w:bookmarkEnd w:id="1099"/>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承包人应遵守《中华人民共和国消防法》，并负责其自己辖区内的消防工作。承包人应对其辖区内发生的火灾及其造成的人员伤亡和财产损失负责。</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按SL398-2007第3.5节的规定，建立现场消防组织，配置必要的消防专职人员和消防设备器材。消防设备的型号和功率应满足消防任务的需要。在现场配备必要的灭火器材、设置防火警示标志，保持畅通的消防通道。</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承包人应对职工进行经常性的消防知识教育和消防安全训练，消防设备器材应经常检查和保养，使其处于良好的待命状态。</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(4) 承包人应制定经常性的消防检查制度，划分施工现场的防火责任区。承包人的消防专职人员应定期检查各施工现场，以及办公与生活区的消防安全，特别是用电安全。</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100" w:name="_Toc376160725"/>
      <w:bookmarkStart w:id="1101" w:name="_Toc376159726"/>
      <w:bookmarkStart w:id="1102" w:name="_Toc68789879"/>
      <w:r>
        <w:t>3.2.10 洪水和气象灾害的防护</w:t>
      </w:r>
      <w:bookmarkEnd w:id="1100"/>
      <w:bookmarkEnd w:id="1101"/>
      <w:bookmarkEnd w:id="1102"/>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每年汛前，承包人应编制防洪度汛预案，并按《水利水电工程施工通用安全技术规程》(SL398-2007)第3.6节、第3.7节的规定，制定切实可行的预防和减灾措施。</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103" w:name="_Toc376159727"/>
      <w:bookmarkStart w:id="1104" w:name="_Toc376160726"/>
      <w:bookmarkStart w:id="1105" w:name="_Toc68789880"/>
      <w:r>
        <w:t>3.2.11 安全标志</w:t>
      </w:r>
      <w:bookmarkEnd w:id="1103"/>
      <w:bookmarkEnd w:id="1104"/>
      <w:bookmarkEnd w:id="1105"/>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承包人应按GB2894-2008的要求，在施工区内设置一切必需的安全标志，其标志类型包括：</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1) 禁止标志；</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警告标志；</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指令标志；</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4) 提示标志。</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承包人应负责保护施工区内的所有标志，并按监理人指示补充或更换失效的标志。</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106" w:name="_Toc376159728"/>
      <w:bookmarkStart w:id="1107" w:name="_Toc68789881"/>
      <w:bookmarkStart w:id="1108" w:name="_Toc376160727"/>
      <w:r>
        <w:t>3.2.12 施工安全监测</w:t>
      </w:r>
      <w:bookmarkEnd w:id="1106"/>
      <w:bookmarkEnd w:id="1107"/>
      <w:bookmarkEnd w:id="1108"/>
    </w:p>
    <w:p>
      <w:pPr>
        <w:keepNext w:val="0"/>
        <w:keepLines w:val="0"/>
        <w:pageBreakBefore w:val="0"/>
        <w:widowControl w:val="0"/>
        <w:kinsoku/>
        <w:wordWrap/>
        <w:overflowPunct/>
        <w:topLinePunct w:val="0"/>
        <w:autoSpaceDE/>
        <w:autoSpaceDN/>
        <w:bidi w:val="0"/>
        <w:adjustRightInd/>
        <w:snapToGrid/>
        <w:spacing w:line="360" w:lineRule="auto"/>
        <w:textAlignment w:val="auto"/>
      </w:pPr>
      <w:r>
        <w:t>　　有关施工期的安全监测详见本技术条款第16章。</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109" w:name="第03章03"/>
      <w:bookmarkEnd w:id="1109"/>
      <w:bookmarkStart w:id="1110" w:name="_Toc376159729"/>
      <w:bookmarkStart w:id="1111" w:name="_Toc376160728"/>
      <w:bookmarkStart w:id="1112" w:name="_Toc68789882"/>
      <w:r>
        <w:t>3.3 应急救援措施</w:t>
      </w:r>
      <w:bookmarkEnd w:id="1110"/>
      <w:bookmarkEnd w:id="1111"/>
      <w:bookmarkEnd w:id="1112"/>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113" w:name="_Toc376159730"/>
      <w:bookmarkStart w:id="1114" w:name="_Toc376160729"/>
      <w:bookmarkStart w:id="1115" w:name="_Toc68789883"/>
      <w:r>
        <w:t>3.3.1 事故应急救援预案</w:t>
      </w:r>
      <w:bookmarkEnd w:id="1113"/>
      <w:bookmarkEnd w:id="1114"/>
      <w:bookmarkEnd w:id="1115"/>
    </w:p>
    <w:p>
      <w:pPr>
        <w:keepNext w:val="0"/>
        <w:keepLines w:val="0"/>
        <w:pageBreakBefore w:val="0"/>
        <w:widowControl w:val="0"/>
        <w:kinsoku/>
        <w:wordWrap/>
        <w:overflowPunct/>
        <w:topLinePunct w:val="0"/>
        <w:autoSpaceDE/>
        <w:autoSpaceDN/>
        <w:bidi w:val="0"/>
        <w:adjustRightInd/>
        <w:snapToGrid/>
        <w:spacing w:line="360" w:lineRule="auto"/>
        <w:textAlignment w:val="auto"/>
      </w:pPr>
      <w:r>
        <w:t>　　(1) 承包人应制定生产安全事故的应急救援预案，应急救援预案应能随时紧急调动应救人员，救援专职人员应定期组织演练。</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发生事故后，承包人应按应急救援要求，配备必需的应急救援器材和设备，并及时将应急救援的措施报告提交监理人。</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116" w:name="_Toc376160730"/>
      <w:bookmarkStart w:id="1117" w:name="_Toc68789884"/>
      <w:bookmarkStart w:id="1118" w:name="_Toc376159731"/>
      <w:r>
        <w:t>3.3.2 伤亡事故处理</w:t>
      </w:r>
      <w:bookmarkEnd w:id="1116"/>
      <w:bookmarkEnd w:id="1117"/>
      <w:bookmarkEnd w:id="1118"/>
    </w:p>
    <w:p>
      <w:pPr>
        <w:keepNext w:val="0"/>
        <w:keepLines w:val="0"/>
        <w:pageBreakBefore w:val="0"/>
        <w:widowControl w:val="0"/>
        <w:kinsoku/>
        <w:wordWrap/>
        <w:overflowPunct/>
        <w:topLinePunct w:val="0"/>
        <w:autoSpaceDE/>
        <w:autoSpaceDN/>
        <w:bidi w:val="0"/>
        <w:adjustRightInd/>
        <w:snapToGrid/>
        <w:spacing w:line="360" w:lineRule="auto"/>
        <w:textAlignment w:val="auto"/>
      </w:pPr>
      <w:r>
        <w:t>　　(1) 施工过程中，若发生施工生产人员或第三者人员的伤亡事故时，承包人应按本合同通用合同条款第9.5款的约定，及时进行处理，并立即报告监理人。</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发生重大伤亡或特大事故时，承包人必须保护事故现场，立即报告发包人和当地政府的安全管理部门，并在当地政府的支持和协助下，按国家有关规定妥善处理好事故。</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事故处理结案后，承包人应向公众张榜告示处理事故结果。</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119" w:name="_Toc376160731"/>
      <w:bookmarkStart w:id="1120" w:name="_Toc68789885"/>
      <w:bookmarkStart w:id="1121" w:name="_Toc376159732"/>
      <w:r>
        <w:t>3.3.3 预防自然灾害措施</w:t>
      </w:r>
      <w:bookmarkEnd w:id="1119"/>
      <w:bookmarkEnd w:id="1120"/>
      <w:bookmarkEnd w:id="1121"/>
    </w:p>
    <w:p>
      <w:pPr>
        <w:keepNext w:val="0"/>
        <w:keepLines w:val="0"/>
        <w:pageBreakBefore w:val="0"/>
        <w:widowControl w:val="0"/>
        <w:kinsoku/>
        <w:wordWrap/>
        <w:overflowPunct/>
        <w:topLinePunct w:val="0"/>
        <w:autoSpaceDE/>
        <w:autoSpaceDN/>
        <w:bidi w:val="0"/>
        <w:adjustRightInd/>
        <w:snapToGrid/>
        <w:spacing w:line="360" w:lineRule="auto"/>
        <w:textAlignment w:val="auto"/>
      </w:pPr>
      <w:r>
        <w:t>　　(1) 施工期间一旦发生洪水、或可能危及人身财产安全事故的预兆时，承包人应立即采取有效的防灾措施，确保工程人员和财产的安全。</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(2) 一旦发生安全事故，承包人应立即按其安全职责分工，组织人员、设备和物资，尽快制止事故发展，及时消除隐患，划定警戒范围，并在最短时间内组织好人员、车辆和设备的疏散，避免再次发生人员伤亡和财产损失。</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(3) 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1122" w:name="第03章04"/>
      <w:bookmarkEnd w:id="1122"/>
      <w:bookmarkStart w:id="1123" w:name="_Toc68789886"/>
      <w:bookmarkStart w:id="1124" w:name="_Toc376159733"/>
      <w:bookmarkStart w:id="1125" w:name="_Toc376160732"/>
      <w:r>
        <w:t>3.4 计量和支付</w:t>
      </w:r>
      <w:bookmarkEnd w:id="1123"/>
      <w:bookmarkEnd w:id="1124"/>
      <w:bookmarkEnd w:id="1125"/>
    </w:p>
    <w:p>
      <w:pPr>
        <w:keepNext w:val="0"/>
        <w:keepLines w:val="0"/>
        <w:pageBreakBefore w:val="0"/>
        <w:widowControl w:val="0"/>
        <w:kinsoku/>
        <w:wordWrap/>
        <w:overflowPunct/>
        <w:topLinePunct w:val="0"/>
        <w:autoSpaceDE/>
        <w:autoSpaceDN/>
        <w:bidi w:val="0"/>
        <w:adjustRightInd/>
        <w:snapToGrid/>
        <w:spacing w:line="360" w:lineRule="auto"/>
        <w:textAlignment w:val="auto"/>
      </w:pPr>
      <w:r>
        <w:t>直接属于具体工程项目的安全文明施工措施费，应包含在《工程量清单》各具体工程项目有效工程量的工程单</w:t>
      </w:r>
      <w:bookmarkEnd w:id="784"/>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pStyle w:val="2"/>
        <w:spacing w:before="120" w:after="120" w:line="400" w:lineRule="exact"/>
        <w:jc w:val="center"/>
        <w:rPr>
          <w:rFonts w:ascii="宋体" w:hAnsi="宋体"/>
          <w:bCs w:val="0"/>
          <w:color w:val="000000"/>
          <w:sz w:val="51"/>
          <w:szCs w:val="31"/>
        </w:rPr>
      </w:pPr>
      <w:bookmarkStart w:id="1126" w:name="_Toc49870009"/>
      <w:bookmarkStart w:id="1127" w:name="_Toc256000082"/>
      <w:r>
        <w:rPr>
          <w:rFonts w:hint="eastAsia" w:ascii="宋体" w:hAnsi="宋体"/>
          <w:bCs w:val="0"/>
          <w:color w:val="000000"/>
          <w:sz w:val="51"/>
          <w:szCs w:val="31"/>
          <w:highlight w:val="white"/>
        </w:rPr>
        <w:t>第 三 卷</w:t>
      </w:r>
      <w:bookmarkEnd w:id="1126"/>
      <w:bookmarkEnd w:id="1127"/>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spacing w:line="400" w:lineRule="exact"/>
        <w:rPr>
          <w:rFonts w:ascii="Arial" w:hAnsi="Arial" w:eastAsia="黑体"/>
          <w:color w:val="000000"/>
          <w:sz w:val="20"/>
          <w:szCs w:val="20"/>
        </w:rPr>
      </w:pPr>
    </w:p>
    <w:p>
      <w:pPr>
        <w:pStyle w:val="2"/>
        <w:spacing w:before="120" w:after="120" w:line="400" w:lineRule="exact"/>
        <w:jc w:val="center"/>
        <w:rPr>
          <w:rFonts w:ascii="黑体" w:hAnsi="黑体" w:eastAsia="黑体"/>
          <w:bCs w:val="0"/>
          <w:color w:val="000000"/>
          <w:sz w:val="31"/>
          <w:szCs w:val="31"/>
        </w:rPr>
      </w:pPr>
      <w:bookmarkStart w:id="1128" w:name="_Toc49870010"/>
      <w:bookmarkStart w:id="1129" w:name="_Toc256000083"/>
      <w:r>
        <w:rPr>
          <w:rFonts w:hint="eastAsia" w:ascii="黑体" w:hAnsi="黑体" w:eastAsia="黑体"/>
          <w:bCs w:val="0"/>
          <w:color w:val="000000"/>
          <w:sz w:val="31"/>
          <w:szCs w:val="31"/>
          <w:highlight w:val="white"/>
        </w:rPr>
        <w:t>第七章  投标文件格式</w:t>
      </w:r>
      <w:bookmarkEnd w:id="1128"/>
      <w:bookmarkEnd w:id="1129"/>
    </w:p>
    <w:p>
      <w:r>
        <w:rPr>
          <w:highlight w:val="white"/>
        </w:rPr>
        <w:br w:type="page"/>
      </w:r>
    </w:p>
    <w:p>
      <w:pPr>
        <w:pStyle w:val="3"/>
        <w:spacing w:line="400" w:lineRule="exact"/>
        <w:rPr>
          <w:rFonts w:ascii="Times New Roman" w:hAnsi="Times New Roman"/>
          <w:color w:val="000000"/>
          <w:sz w:val="23"/>
          <w:szCs w:val="21"/>
        </w:rPr>
      </w:pPr>
      <w:bookmarkStart w:id="1130" w:name="_Toc256000084"/>
      <w:r>
        <w:rPr>
          <w:rFonts w:hint="eastAsia" w:ascii="Times New Roman" w:hAnsi="Times New Roman"/>
          <w:color w:val="000000"/>
          <w:sz w:val="23"/>
          <w:szCs w:val="21"/>
          <w:highlight w:val="white"/>
        </w:rPr>
        <w:t>评标要素索引表</w:t>
      </w:r>
      <w:bookmarkEnd w:id="1130"/>
    </w:p>
    <w:p>
      <w:pPr>
        <w:adjustRightInd w:val="0"/>
        <w:snapToGrid w:val="0"/>
        <w:spacing w:afterLines="50" w:line="400" w:lineRule="exact"/>
        <w:jc w:val="center"/>
        <w:rPr>
          <w:rFonts w:ascii="Times New Roman" w:hAnsi="Times New Roman"/>
          <w:b/>
          <w:color w:val="000000"/>
          <w:sz w:val="20"/>
          <w:szCs w:val="20"/>
        </w:rPr>
      </w:pPr>
      <w:r>
        <w:rPr>
          <w:rFonts w:hint="eastAsia"/>
          <w:b/>
          <w:color w:val="000000"/>
          <w:sz w:val="20"/>
          <w:szCs w:val="20"/>
          <w:highlight w:val="white"/>
        </w:rPr>
        <w:t>评标要素索引表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58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 w:val="20"/>
                <w:szCs w:val="20"/>
              </w:rPr>
            </w:pPr>
            <w:r>
              <w:rPr>
                <w:rFonts w:hint="eastAsia"/>
                <w:b/>
                <w:color w:val="000000"/>
                <w:sz w:val="20"/>
                <w:szCs w:val="20"/>
                <w:highlight w:val="white"/>
              </w:rPr>
              <w:t>序号</w:t>
            </w: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 w:val="20"/>
                <w:szCs w:val="20"/>
              </w:rPr>
            </w:pPr>
            <w:r>
              <w:rPr>
                <w:rFonts w:hint="eastAsia"/>
                <w:b/>
                <w:color w:val="000000"/>
                <w:sz w:val="20"/>
                <w:szCs w:val="20"/>
                <w:highlight w:val="white"/>
              </w:rPr>
              <w:t>评审内容</w:t>
            </w: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 w:val="20"/>
                <w:szCs w:val="20"/>
              </w:rPr>
            </w:pPr>
            <w:r>
              <w:rPr>
                <w:rFonts w:hint="eastAsia"/>
                <w:b/>
                <w:color w:val="000000"/>
                <w:sz w:val="20"/>
                <w:szCs w:val="20"/>
                <w:highlight w:val="whit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61"/>
              <w:widowControl w:val="0"/>
              <w:pBdr>
                <w:bottom w:val="none" w:color="auto" w:sz="0" w:space="0"/>
                <w:right w:val="none" w:color="auto" w:sz="0" w:space="0"/>
              </w:pBdr>
              <w:adjustRightInd w:val="0"/>
              <w:snapToGrid w:val="0"/>
              <w:spacing w:before="0" w:beforeAutospacing="0" w:after="0" w:afterAutospacing="0" w:line="400" w:lineRule="exact"/>
              <w:rPr>
                <w:b/>
                <w:color w:val="000000"/>
                <w:kern w:val="2"/>
                <w:sz w:val="20"/>
                <w:szCs w:val="20"/>
              </w:rPr>
            </w:pPr>
          </w:p>
        </w:tc>
        <w:tc>
          <w:tcPr>
            <w:tcW w:w="77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8" w:firstLineChars="10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u w:val="single"/>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u w:val="single"/>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 w:val="20"/>
                <w:szCs w:val="20"/>
              </w:rPr>
            </w:pPr>
          </w:p>
        </w:tc>
        <w:tc>
          <w:tcPr>
            <w:tcW w:w="77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8" w:firstLineChars="10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u w:val="single"/>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5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Cs/>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bCs/>
                <w:color w:val="000000"/>
                <w:sz w:val="20"/>
                <w:szCs w:val="20"/>
              </w:rPr>
            </w:pPr>
            <w:r>
              <w:rPr>
                <w:bCs/>
                <w:color w:val="000000"/>
                <w:sz w:val="20"/>
                <w:szCs w:val="20"/>
                <w:highlight w:val="white"/>
              </w:rPr>
              <w:t>P</w:t>
            </w:r>
            <w:r>
              <w:rPr>
                <w:bCs/>
                <w:color w:val="000000"/>
                <w:sz w:val="20"/>
                <w:szCs w:val="20"/>
                <w:highlight w:val="white"/>
                <w:u w:val="single"/>
              </w:rPr>
              <w:t xml:space="preserve">      </w:t>
            </w:r>
            <w:r>
              <w:rPr>
                <w:rFonts w:hint="eastAsia"/>
                <w:bCs/>
                <w:color w:val="000000"/>
                <w:sz w:val="20"/>
                <w:szCs w:val="20"/>
                <w:highlight w:val="white"/>
              </w:rPr>
              <w:t>～</w:t>
            </w:r>
            <w:r>
              <w:rPr>
                <w:bCs/>
                <w:color w:val="000000"/>
                <w:sz w:val="20"/>
                <w:szCs w:val="20"/>
                <w:highlight w:val="white"/>
              </w:rPr>
              <w:t>P</w:t>
            </w:r>
            <w:r>
              <w:rPr>
                <w:bCs/>
                <w:color w:val="000000"/>
                <w:sz w:val="20"/>
                <w:szCs w:val="20"/>
                <w:highlight w:val="white"/>
                <w:u w:val="single"/>
              </w:rPr>
              <w:t xml:space="preserve">      </w:t>
            </w:r>
          </w:p>
        </w:tc>
      </w:tr>
    </w:tbl>
    <w:p>
      <w:pPr>
        <w:spacing w:line="400" w:lineRule="exact"/>
        <w:rPr>
          <w:rFonts w:ascii="Times New Roman" w:hAnsi="Times New Roman"/>
          <w:color w:val="000000"/>
          <w:sz w:val="20"/>
          <w:szCs w:val="20"/>
        </w:rPr>
      </w:pPr>
    </w:p>
    <w:p>
      <w:r>
        <w:rPr>
          <w:highlight w:val="white"/>
        </w:rPr>
        <w:br w:type="page"/>
      </w:r>
    </w:p>
    <w:p>
      <w:pPr>
        <w:rPr>
          <w:highlight w:val="red"/>
        </w:rPr>
      </w:pPr>
      <w:bookmarkStart w:id="1131" w:name="EBcea738247aac44409f150352b6093b7c"/>
    </w:p>
    <w:p>
      <w:pPr>
        <w:pStyle w:val="138"/>
        <w:spacing w:after="400"/>
        <w:jc w:val="center"/>
        <w:rPr>
          <w:rFonts w:ascii="黑体" w:hAnsi="黑体" w:eastAsia="黑体" w:cs="黑体"/>
          <w:sz w:val="40"/>
          <w:szCs w:val="40"/>
        </w:rPr>
      </w:pPr>
      <w:r>
        <w:rPr>
          <w:rFonts w:ascii="黑体" w:hAnsi="黑体" w:eastAsia="黑体" w:cs="黑体"/>
          <w:sz w:val="40"/>
          <w:szCs w:val="40"/>
        </w:rPr>
        <w:t>目  录</w:t>
      </w:r>
    </w:p>
    <w:p>
      <w:pPr>
        <w:pStyle w:val="138"/>
        <w:spacing w:before="240" w:after="240" w:line="200" w:lineRule="atLeast"/>
        <w:rPr>
          <w:rFonts w:ascii="宋体" w:hAnsi="宋体" w:eastAsia="宋体" w:cs="宋体"/>
        </w:rPr>
      </w:pPr>
      <w:r>
        <w:rPr>
          <w:rFonts w:ascii="宋体" w:hAnsi="宋体" w:eastAsia="宋体" w:cs="宋体"/>
        </w:rPr>
        <w:t>一、封面</w:t>
      </w:r>
    </w:p>
    <w:p>
      <w:pPr>
        <w:pStyle w:val="138"/>
        <w:spacing w:before="240" w:after="240" w:line="200" w:lineRule="atLeast"/>
        <w:rPr>
          <w:rFonts w:ascii="宋体" w:hAnsi="宋体" w:eastAsia="宋体" w:cs="宋体"/>
        </w:rPr>
      </w:pPr>
      <w:r>
        <w:rPr>
          <w:rFonts w:ascii="宋体" w:hAnsi="宋体" w:eastAsia="宋体" w:cs="宋体"/>
        </w:rPr>
        <w:t>二、投标函及投标函附录</w:t>
      </w:r>
    </w:p>
    <w:p>
      <w:pPr>
        <w:pStyle w:val="138"/>
        <w:spacing w:before="240" w:after="240" w:line="200" w:lineRule="atLeast"/>
        <w:rPr>
          <w:rFonts w:ascii="宋体" w:hAnsi="宋体" w:eastAsia="宋体" w:cs="宋体"/>
        </w:rPr>
      </w:pPr>
      <w:r>
        <w:rPr>
          <w:rFonts w:ascii="宋体" w:hAnsi="宋体" w:eastAsia="宋体" w:cs="宋体"/>
        </w:rPr>
        <w:t>三、法定代表人身份证明及授权委托书</w:t>
      </w:r>
    </w:p>
    <w:p>
      <w:pPr>
        <w:pStyle w:val="138"/>
        <w:spacing w:before="240" w:after="240" w:line="200" w:lineRule="atLeast"/>
        <w:rPr>
          <w:rFonts w:ascii="宋体" w:hAnsi="宋体" w:eastAsia="宋体" w:cs="宋体"/>
        </w:rPr>
      </w:pPr>
      <w:r>
        <w:rPr>
          <w:rFonts w:ascii="宋体" w:hAnsi="宋体" w:eastAsia="宋体" w:cs="宋体"/>
        </w:rPr>
        <w:t>四、投标保证金</w:t>
      </w:r>
    </w:p>
    <w:p>
      <w:pPr>
        <w:pStyle w:val="138"/>
        <w:spacing w:before="240" w:after="240" w:line="200" w:lineRule="atLeast"/>
        <w:rPr>
          <w:rFonts w:ascii="宋体" w:hAnsi="宋体" w:eastAsia="宋体" w:cs="宋体"/>
        </w:rPr>
      </w:pPr>
      <w:r>
        <w:rPr>
          <w:rFonts w:ascii="宋体" w:hAnsi="宋体" w:eastAsia="宋体" w:cs="宋体"/>
        </w:rPr>
        <w:t>五、已标价工程量清单</w:t>
      </w:r>
    </w:p>
    <w:p>
      <w:pPr>
        <w:pStyle w:val="138"/>
        <w:spacing w:before="240" w:after="240" w:line="200" w:lineRule="atLeast"/>
        <w:rPr>
          <w:rFonts w:ascii="宋体" w:hAnsi="宋体" w:eastAsia="宋体" w:cs="宋体"/>
        </w:rPr>
      </w:pPr>
      <w:r>
        <w:rPr>
          <w:rFonts w:ascii="宋体" w:hAnsi="宋体" w:eastAsia="宋体" w:cs="宋体"/>
        </w:rPr>
        <w:t>六、施工组织设计</w:t>
      </w:r>
    </w:p>
    <w:p>
      <w:pPr>
        <w:pStyle w:val="138"/>
        <w:spacing w:before="240" w:after="240" w:line="200" w:lineRule="atLeast"/>
        <w:rPr>
          <w:rFonts w:ascii="宋体" w:hAnsi="宋体" w:eastAsia="宋体" w:cs="宋体"/>
        </w:rPr>
      </w:pPr>
      <w:r>
        <w:rPr>
          <w:rFonts w:ascii="宋体" w:hAnsi="宋体" w:eastAsia="宋体" w:cs="宋体"/>
        </w:rPr>
        <w:t>七、项目管理机构</w:t>
      </w:r>
    </w:p>
    <w:p>
      <w:pPr>
        <w:pStyle w:val="138"/>
        <w:spacing w:before="240" w:after="240" w:line="160" w:lineRule="atLeast"/>
        <w:rPr>
          <w:rFonts w:ascii="宋体" w:hAnsi="宋体" w:eastAsia="宋体" w:cs="宋体"/>
        </w:rPr>
      </w:pPr>
      <w:r>
        <w:rPr>
          <w:rFonts w:ascii="宋体" w:hAnsi="宋体" w:eastAsia="宋体" w:cs="宋体"/>
        </w:rPr>
        <w:t>(二)项目管理机构组成表</w:t>
      </w:r>
    </w:p>
    <w:p>
      <w:pPr>
        <w:pStyle w:val="138"/>
        <w:spacing w:before="240" w:after="240" w:line="160" w:lineRule="atLeast"/>
        <w:rPr>
          <w:rFonts w:ascii="宋体" w:hAnsi="宋体" w:eastAsia="宋体" w:cs="宋体"/>
        </w:rPr>
      </w:pPr>
      <w:r>
        <w:rPr>
          <w:rFonts w:ascii="宋体" w:hAnsi="宋体" w:eastAsia="宋体" w:cs="宋体"/>
        </w:rPr>
        <w:t>(三)主要人员简历表</w:t>
      </w:r>
    </w:p>
    <w:p>
      <w:pPr>
        <w:pStyle w:val="138"/>
        <w:spacing w:before="240" w:after="240" w:line="200" w:lineRule="atLeast"/>
        <w:rPr>
          <w:rFonts w:ascii="宋体" w:hAnsi="宋体" w:eastAsia="宋体" w:cs="宋体"/>
        </w:rPr>
      </w:pPr>
      <w:r>
        <w:rPr>
          <w:rFonts w:ascii="宋体" w:hAnsi="宋体" w:eastAsia="宋体" w:cs="宋体"/>
        </w:rPr>
        <w:t>八、拟分包项目情况表</w:t>
      </w:r>
    </w:p>
    <w:p>
      <w:pPr>
        <w:pStyle w:val="138"/>
        <w:spacing w:before="240" w:after="240" w:line="200" w:lineRule="atLeast"/>
        <w:rPr>
          <w:rFonts w:ascii="宋体" w:hAnsi="宋体" w:eastAsia="宋体" w:cs="宋体"/>
        </w:rPr>
      </w:pPr>
      <w:r>
        <w:rPr>
          <w:rFonts w:ascii="宋体" w:hAnsi="宋体" w:eastAsia="宋体" w:cs="宋体"/>
        </w:rPr>
        <w:t>九、资格审查资料</w:t>
      </w:r>
    </w:p>
    <w:p>
      <w:pPr>
        <w:pStyle w:val="138"/>
        <w:spacing w:before="240" w:after="240" w:line="160" w:lineRule="atLeast"/>
        <w:rPr>
          <w:rFonts w:ascii="宋体" w:hAnsi="宋体" w:eastAsia="宋体" w:cs="宋体"/>
        </w:rPr>
      </w:pPr>
      <w:r>
        <w:rPr>
          <w:rFonts w:ascii="宋体" w:hAnsi="宋体" w:eastAsia="宋体" w:cs="宋体"/>
        </w:rPr>
        <w:t>(二)投标人基本情况表</w:t>
      </w:r>
    </w:p>
    <w:p>
      <w:pPr>
        <w:pStyle w:val="138"/>
        <w:spacing w:before="240" w:after="240" w:line="160" w:lineRule="atLeast"/>
        <w:rPr>
          <w:rFonts w:ascii="宋体" w:hAnsi="宋体" w:eastAsia="宋体" w:cs="宋体"/>
        </w:rPr>
      </w:pPr>
      <w:r>
        <w:rPr>
          <w:rFonts w:ascii="宋体" w:hAnsi="宋体" w:eastAsia="宋体" w:cs="宋体"/>
        </w:rPr>
        <w:t>(三)近3年财务状况表</w:t>
      </w:r>
    </w:p>
    <w:p>
      <w:pPr>
        <w:pStyle w:val="138"/>
        <w:spacing w:before="240" w:after="240" w:line="160" w:lineRule="atLeast"/>
        <w:rPr>
          <w:rFonts w:ascii="宋体" w:hAnsi="宋体" w:eastAsia="宋体" w:cs="宋体"/>
        </w:rPr>
      </w:pPr>
      <w:r>
        <w:rPr>
          <w:rFonts w:ascii="宋体" w:hAnsi="宋体" w:eastAsia="宋体" w:cs="宋体"/>
        </w:rPr>
        <w:t>(四)近5年完成的类似项目情况表</w:t>
      </w:r>
    </w:p>
    <w:p>
      <w:pPr>
        <w:pStyle w:val="138"/>
        <w:spacing w:before="240" w:after="240" w:line="160" w:lineRule="atLeast"/>
        <w:rPr>
          <w:rFonts w:ascii="宋体" w:hAnsi="宋体" w:eastAsia="宋体" w:cs="宋体"/>
        </w:rPr>
      </w:pPr>
      <w:r>
        <w:rPr>
          <w:rFonts w:ascii="宋体" w:hAnsi="宋体" w:eastAsia="宋体" w:cs="宋体"/>
        </w:rPr>
        <w:t>(五)正在施工的和新承接的项目情况表</w:t>
      </w:r>
    </w:p>
    <w:p>
      <w:pPr>
        <w:pStyle w:val="138"/>
        <w:spacing w:before="240" w:after="240" w:line="160" w:lineRule="atLeast"/>
        <w:rPr>
          <w:rFonts w:ascii="宋体" w:hAnsi="宋体" w:eastAsia="宋体" w:cs="宋体"/>
        </w:rPr>
      </w:pPr>
      <w:r>
        <w:rPr>
          <w:rFonts w:ascii="宋体" w:hAnsi="宋体" w:eastAsia="宋体" w:cs="宋体"/>
        </w:rPr>
        <w:t>(六)近3年发生的诉讼及仲裁情况</w:t>
      </w:r>
    </w:p>
    <w:p>
      <w:pPr>
        <w:pStyle w:val="138"/>
        <w:spacing w:before="240" w:after="240" w:line="160" w:lineRule="atLeast"/>
        <w:rPr>
          <w:rFonts w:ascii="宋体" w:hAnsi="宋体" w:eastAsia="宋体" w:cs="宋体"/>
        </w:rPr>
      </w:pPr>
      <w:r>
        <w:rPr>
          <w:rFonts w:ascii="宋体" w:hAnsi="宋体" w:eastAsia="宋体" w:cs="宋体"/>
        </w:rPr>
        <w:t>(七)资格审查自审表</w:t>
      </w:r>
    </w:p>
    <w:p>
      <w:pPr>
        <w:pStyle w:val="138"/>
        <w:spacing w:before="240" w:after="240" w:line="200" w:lineRule="atLeast"/>
        <w:rPr>
          <w:rFonts w:ascii="宋体" w:hAnsi="宋体" w:eastAsia="宋体" w:cs="宋体"/>
        </w:rPr>
      </w:pPr>
      <w:r>
        <w:rPr>
          <w:rFonts w:ascii="宋体" w:hAnsi="宋体" w:eastAsia="宋体" w:cs="宋体"/>
        </w:rPr>
        <w:t>十、原件的复印件</w:t>
      </w:r>
    </w:p>
    <w:p>
      <w:pPr>
        <w:pStyle w:val="138"/>
        <w:spacing w:before="240" w:after="240" w:line="200" w:lineRule="atLeast"/>
        <w:rPr>
          <w:rFonts w:ascii="宋体" w:hAnsi="宋体" w:eastAsia="宋体" w:cs="宋体"/>
        </w:rPr>
      </w:pPr>
      <w:r>
        <w:rPr>
          <w:rFonts w:ascii="宋体" w:hAnsi="宋体" w:eastAsia="宋体" w:cs="宋体"/>
        </w:rPr>
        <w:t>十一、投标人告知承诺书</w:t>
      </w:r>
    </w:p>
    <w:p>
      <w:pPr>
        <w:pStyle w:val="138"/>
        <w:spacing w:before="240" w:after="240" w:line="200" w:lineRule="atLeast"/>
        <w:rPr>
          <w:rFonts w:hint="eastAsia" w:ascii="宋体" w:hAnsi="宋体" w:eastAsia="宋体" w:cs="宋体"/>
          <w:lang w:eastAsia="zh-CN"/>
        </w:rPr>
      </w:pPr>
      <w:r>
        <w:rPr>
          <w:rFonts w:hint="eastAsia" w:ascii="宋体" w:hAnsi="宋体" w:eastAsia="宋体" w:cs="宋体"/>
          <w:lang w:eastAsia="zh-CN"/>
        </w:rPr>
        <w:t>十二、项目经理无在建项目承诺书</w:t>
      </w:r>
    </w:p>
    <w:p>
      <w:pPr>
        <w:pStyle w:val="138"/>
        <w:spacing w:before="240" w:after="240" w:line="200" w:lineRule="atLeast"/>
        <w:rPr>
          <w:rFonts w:ascii="宋体" w:hAnsi="宋体" w:eastAsia="宋体" w:cs="宋体"/>
        </w:rPr>
      </w:pPr>
      <w:r>
        <w:rPr>
          <w:rFonts w:ascii="宋体" w:hAnsi="宋体" w:eastAsia="宋体" w:cs="宋体"/>
        </w:rPr>
        <w:t>十</w:t>
      </w:r>
      <w:r>
        <w:rPr>
          <w:rFonts w:hint="eastAsia" w:ascii="宋体" w:hAnsi="宋体" w:eastAsia="宋体" w:cs="宋体"/>
          <w:lang w:eastAsia="zh-CN"/>
        </w:rPr>
        <w:t>三</w:t>
      </w:r>
      <w:r>
        <w:rPr>
          <w:rFonts w:ascii="宋体" w:hAnsi="宋体" w:eastAsia="宋体" w:cs="宋体"/>
        </w:rPr>
        <w:t>、其他材料</w:t>
      </w:r>
    </w:p>
    <w:p>
      <w:pPr>
        <w:rPr>
          <w:highlight w:val="red"/>
        </w:rPr>
      </w:pPr>
    </w:p>
    <w:p>
      <w:pPr>
        <w:pStyle w:val="89"/>
        <w:spacing w:line="400" w:lineRule="exact"/>
        <w:rPr>
          <w:color w:val="000000"/>
          <w:sz w:val="35"/>
          <w:szCs w:val="35"/>
        </w:rPr>
      </w:pPr>
    </w:p>
    <w:p>
      <w:pPr>
        <w:pStyle w:val="89"/>
        <w:spacing w:line="400" w:lineRule="exact"/>
        <w:rPr>
          <w:rFonts w:eastAsia="黑体"/>
          <w:color w:val="000000"/>
          <w:sz w:val="19"/>
          <w:szCs w:val="19"/>
        </w:rPr>
      </w:pPr>
    </w:p>
    <w:p>
      <w:pPr>
        <w:pStyle w:val="89"/>
        <w:spacing w:line="400" w:lineRule="exact"/>
        <w:rPr>
          <w:rFonts w:eastAsia="黑体"/>
          <w:color w:val="000000"/>
          <w:sz w:val="19"/>
          <w:szCs w:val="19"/>
        </w:rPr>
      </w:pPr>
    </w:p>
    <w:p>
      <w:pPr>
        <w:pStyle w:val="89"/>
        <w:spacing w:line="400" w:lineRule="exact"/>
        <w:jc w:val="center"/>
        <w:rPr>
          <w:rFonts w:eastAsia="黑体"/>
          <w:color w:val="000000"/>
          <w:sz w:val="27"/>
          <w:szCs w:val="27"/>
        </w:rPr>
      </w:pPr>
      <w:r>
        <w:rPr>
          <w:rFonts w:eastAsia="黑体"/>
          <w:color w:val="000000"/>
          <w:sz w:val="27"/>
          <w:szCs w:val="27"/>
          <w:u w:val="single"/>
        </w:rPr>
        <w:t xml:space="preserve">            </w:t>
      </w:r>
      <w:r>
        <w:rPr>
          <w:rFonts w:hint="eastAsia" w:eastAsia="黑体"/>
          <w:color w:val="000000"/>
          <w:sz w:val="27"/>
          <w:szCs w:val="27"/>
        </w:rPr>
        <w:t>（</w:t>
      </w:r>
      <w:r>
        <w:rPr>
          <w:rFonts w:hint="eastAsia" w:ascii="仿宋_GB2312" w:eastAsia="仿宋_GB2312"/>
          <w:color w:val="000000"/>
          <w:sz w:val="27"/>
          <w:szCs w:val="27"/>
        </w:rPr>
        <w:t>项目名称）</w:t>
      </w:r>
      <w:r>
        <w:rPr>
          <w:rFonts w:hint="eastAsia" w:ascii="仿宋_GB2312" w:eastAsia="仿宋_GB2312"/>
          <w:color w:val="000000"/>
          <w:sz w:val="27"/>
          <w:szCs w:val="27"/>
          <w:u w:val="single"/>
        </w:rPr>
        <w:t xml:space="preserve">            （</w:t>
      </w:r>
      <w:r>
        <w:rPr>
          <w:rFonts w:hint="eastAsia" w:ascii="仿宋_GB2312" w:eastAsia="仿宋_GB2312"/>
          <w:color w:val="000000"/>
          <w:sz w:val="27"/>
          <w:szCs w:val="27"/>
        </w:rPr>
        <w:t>标段名称</w:t>
      </w:r>
      <w:r>
        <w:rPr>
          <w:rFonts w:hint="eastAsia" w:eastAsia="黑体"/>
          <w:color w:val="000000"/>
          <w:sz w:val="27"/>
          <w:szCs w:val="27"/>
        </w:rPr>
        <w:t>）</w:t>
      </w:r>
      <w:r>
        <w:rPr>
          <w:rFonts w:eastAsia="黑体"/>
          <w:color w:val="000000"/>
          <w:sz w:val="27"/>
          <w:szCs w:val="27"/>
        </w:rPr>
        <w:t xml:space="preserve"> </w:t>
      </w:r>
    </w:p>
    <w:p>
      <w:pPr>
        <w:pStyle w:val="89"/>
        <w:spacing w:line="400" w:lineRule="exact"/>
        <w:rPr>
          <w:rFonts w:eastAsia="黑体"/>
          <w:color w:val="000000"/>
          <w:sz w:val="19"/>
          <w:szCs w:val="19"/>
        </w:rPr>
      </w:pPr>
    </w:p>
    <w:p>
      <w:pPr>
        <w:pStyle w:val="89"/>
        <w:spacing w:line="400" w:lineRule="exact"/>
        <w:rPr>
          <w:rFonts w:eastAsia="黑体"/>
          <w:color w:val="000000"/>
          <w:sz w:val="19"/>
          <w:szCs w:val="19"/>
        </w:rPr>
      </w:pPr>
    </w:p>
    <w:p>
      <w:pPr>
        <w:pStyle w:val="89"/>
        <w:spacing w:line="400" w:lineRule="exact"/>
        <w:jc w:val="center"/>
        <w:rPr>
          <w:rFonts w:eastAsia="黑体"/>
          <w:color w:val="000000"/>
          <w:sz w:val="42"/>
          <w:szCs w:val="42"/>
        </w:rPr>
      </w:pPr>
      <w:r>
        <w:rPr>
          <w:rFonts w:hint="eastAsia" w:eastAsia="黑体"/>
          <w:color w:val="000000"/>
          <w:sz w:val="42"/>
          <w:szCs w:val="42"/>
        </w:rPr>
        <w:t>投</w:t>
      </w:r>
      <w:r>
        <w:rPr>
          <w:rFonts w:eastAsia="黑体"/>
          <w:color w:val="000000"/>
          <w:sz w:val="42"/>
          <w:szCs w:val="42"/>
        </w:rPr>
        <w:t xml:space="preserve">  </w:t>
      </w:r>
      <w:r>
        <w:rPr>
          <w:rFonts w:hint="eastAsia" w:eastAsia="黑体"/>
          <w:color w:val="000000"/>
          <w:sz w:val="42"/>
          <w:szCs w:val="42"/>
        </w:rPr>
        <w:t>标</w:t>
      </w:r>
      <w:r>
        <w:rPr>
          <w:rFonts w:eastAsia="黑体"/>
          <w:color w:val="000000"/>
          <w:sz w:val="42"/>
          <w:szCs w:val="42"/>
        </w:rPr>
        <w:t xml:space="preserve">  </w:t>
      </w:r>
      <w:r>
        <w:rPr>
          <w:rFonts w:hint="eastAsia" w:eastAsia="黑体"/>
          <w:color w:val="000000"/>
          <w:sz w:val="42"/>
          <w:szCs w:val="42"/>
        </w:rPr>
        <w:t>文</w:t>
      </w:r>
      <w:r>
        <w:rPr>
          <w:rFonts w:eastAsia="黑体"/>
          <w:color w:val="000000"/>
          <w:sz w:val="42"/>
          <w:szCs w:val="42"/>
        </w:rPr>
        <w:t xml:space="preserve">  </w:t>
      </w:r>
      <w:r>
        <w:rPr>
          <w:rFonts w:hint="eastAsia" w:eastAsia="黑体"/>
          <w:color w:val="000000"/>
          <w:sz w:val="42"/>
          <w:szCs w:val="42"/>
        </w:rPr>
        <w:t>件</w:t>
      </w: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rPr>
          <w:rFonts w:eastAsia="黑体"/>
          <w:color w:val="000000"/>
          <w:sz w:val="27"/>
          <w:szCs w:val="27"/>
        </w:rPr>
      </w:pPr>
    </w:p>
    <w:p>
      <w:pPr>
        <w:pStyle w:val="89"/>
        <w:spacing w:line="400" w:lineRule="exact"/>
        <w:jc w:val="center"/>
        <w:rPr>
          <w:rFonts w:eastAsia="黑体"/>
          <w:color w:val="000000"/>
          <w:sz w:val="27"/>
          <w:szCs w:val="27"/>
        </w:rPr>
      </w:pPr>
      <w:r>
        <w:rPr>
          <w:rFonts w:hint="eastAsia" w:eastAsia="黑体"/>
          <w:color w:val="000000"/>
          <w:sz w:val="27"/>
          <w:szCs w:val="27"/>
        </w:rPr>
        <w:t>投标人：</w:t>
      </w:r>
      <w:r>
        <w:rPr>
          <w:rFonts w:eastAsia="黑体"/>
          <w:color w:val="000000"/>
          <w:sz w:val="27"/>
          <w:szCs w:val="27"/>
          <w:u w:val="single"/>
        </w:rPr>
        <w:t xml:space="preserve">                              </w:t>
      </w:r>
      <w:r>
        <w:rPr>
          <w:rFonts w:hint="eastAsia" w:eastAsia="黑体"/>
          <w:color w:val="000000"/>
          <w:sz w:val="27"/>
          <w:szCs w:val="27"/>
        </w:rPr>
        <w:t>（盖单位章）</w:t>
      </w:r>
    </w:p>
    <w:p>
      <w:pPr>
        <w:pStyle w:val="89"/>
        <w:spacing w:line="400" w:lineRule="exact"/>
        <w:jc w:val="center"/>
        <w:rPr>
          <w:rFonts w:eastAsia="黑体"/>
          <w:color w:val="000000"/>
          <w:sz w:val="27"/>
          <w:szCs w:val="27"/>
          <w:u w:val="single"/>
        </w:rPr>
      </w:pPr>
    </w:p>
    <w:p>
      <w:pPr>
        <w:pStyle w:val="89"/>
        <w:spacing w:line="400" w:lineRule="exact"/>
        <w:jc w:val="center"/>
        <w:rPr>
          <w:rFonts w:eastAsia="黑体"/>
          <w:color w:val="000000"/>
          <w:sz w:val="27"/>
          <w:szCs w:val="27"/>
        </w:rPr>
      </w:pPr>
      <w:r>
        <w:rPr>
          <w:rFonts w:eastAsia="黑体"/>
          <w:color w:val="000000"/>
          <w:sz w:val="27"/>
          <w:szCs w:val="27"/>
          <w:u w:val="single"/>
        </w:rPr>
        <w:t xml:space="preserve">        </w:t>
      </w:r>
      <w:r>
        <w:rPr>
          <w:rFonts w:hint="eastAsia" w:eastAsia="黑体"/>
          <w:color w:val="000000"/>
          <w:sz w:val="27"/>
          <w:szCs w:val="27"/>
        </w:rPr>
        <w:t>年</w:t>
      </w:r>
      <w:r>
        <w:rPr>
          <w:rFonts w:eastAsia="黑体"/>
          <w:color w:val="000000"/>
          <w:sz w:val="27"/>
          <w:szCs w:val="27"/>
          <w:u w:val="single"/>
        </w:rPr>
        <w:t xml:space="preserve">        </w:t>
      </w:r>
      <w:r>
        <w:rPr>
          <w:rFonts w:hint="eastAsia" w:eastAsia="黑体"/>
          <w:color w:val="000000"/>
          <w:sz w:val="27"/>
          <w:szCs w:val="27"/>
        </w:rPr>
        <w:t>月</w:t>
      </w:r>
      <w:r>
        <w:rPr>
          <w:rFonts w:eastAsia="黑体"/>
          <w:color w:val="000000"/>
          <w:sz w:val="27"/>
          <w:szCs w:val="27"/>
          <w:u w:val="single"/>
        </w:rPr>
        <w:t xml:space="preserve">         </w:t>
      </w:r>
      <w:r>
        <w:rPr>
          <w:rFonts w:hint="eastAsia" w:eastAsia="黑体"/>
          <w:color w:val="000000"/>
          <w:sz w:val="27"/>
          <w:szCs w:val="27"/>
        </w:rPr>
        <w:t>日</w:t>
      </w:r>
    </w:p>
    <w:p>
      <w:pPr>
        <w:pStyle w:val="90"/>
        <w:outlineLvl w:val="1"/>
      </w:pPr>
      <w:r>
        <w:br w:type="page"/>
      </w:r>
      <w:bookmarkStart w:id="1132" w:name="_Toc256000085"/>
      <w:r>
        <w:rPr>
          <w:rFonts w:ascii="黑体" w:hAnsi="黑体" w:eastAsia="黑体" w:cs="黑体"/>
          <w:b/>
          <w:sz w:val="32"/>
        </w:rPr>
        <w:t>一、投标函及投标函附录</w:t>
      </w:r>
      <w:bookmarkEnd w:id="1132"/>
    </w:p>
    <w:p>
      <w:pPr>
        <w:pStyle w:val="91"/>
        <w:spacing w:line="400" w:lineRule="exact"/>
        <w:jc w:val="center"/>
        <w:rPr>
          <w:rFonts w:ascii="Times New Roman" w:hAnsi="Times New Roman"/>
          <w:color w:val="000000"/>
          <w:sz w:val="30"/>
          <w:szCs w:val="30"/>
        </w:rPr>
      </w:pPr>
      <w:bookmarkStart w:id="1133" w:name="_Toc256000086"/>
      <w:r>
        <w:rPr>
          <w:rFonts w:ascii="Times New Roman" w:hAnsi="Times New Roman"/>
          <w:color w:val="000000"/>
          <w:sz w:val="30"/>
          <w:szCs w:val="30"/>
        </w:rPr>
        <w:t>一、投标函及投标函附录</w:t>
      </w:r>
      <w:bookmarkEnd w:id="1133"/>
    </w:p>
    <w:p>
      <w:pPr>
        <w:pStyle w:val="94"/>
        <w:rPr>
          <w:color w:val="000000"/>
        </w:rPr>
      </w:pPr>
      <w:bookmarkStart w:id="1134" w:name="_Toc256000087"/>
      <w:r>
        <w:rPr>
          <w:rFonts w:hint="eastAsia"/>
          <w:color w:val="000000"/>
        </w:rPr>
        <w:t>（一）投标函</w:t>
      </w:r>
      <w:bookmarkEnd w:id="1134"/>
    </w:p>
    <w:p>
      <w:pPr>
        <w:pStyle w:val="92"/>
        <w:spacing w:line="400" w:lineRule="exact"/>
        <w:rPr>
          <w:color w:val="000000"/>
          <w:sz w:val="19"/>
          <w:szCs w:val="19"/>
        </w:rPr>
      </w:pPr>
    </w:p>
    <w:p>
      <w:pPr>
        <w:pStyle w:val="92"/>
        <w:spacing w:line="400" w:lineRule="exac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（招标人名称）：</w:t>
      </w:r>
    </w:p>
    <w:p>
      <w:pPr>
        <w:pStyle w:val="92"/>
        <w:spacing w:line="400" w:lineRule="exact"/>
        <w:rPr>
          <w:rFonts w:ascii="宋体" w:hAnsi="宋体"/>
          <w:color w:val="000000"/>
          <w:szCs w:val="21"/>
        </w:rPr>
      </w:pPr>
    </w:p>
    <w:p>
      <w:pPr>
        <w:pStyle w:val="92"/>
        <w:spacing w:line="400" w:lineRule="exact"/>
        <w:ind w:firstLine="420" w:firstLineChars="200"/>
        <w:rPr>
          <w:rFonts w:ascii="宋体" w:hAnsi="宋体"/>
          <w:color w:val="000000"/>
          <w:szCs w:val="21"/>
        </w:rPr>
      </w:pPr>
      <w:r>
        <w:rPr>
          <w:rFonts w:hint="eastAsia" w:ascii="宋体" w:hAnsi="宋体"/>
          <w:color w:val="000000"/>
          <w:szCs w:val="21"/>
        </w:rPr>
        <w:t>1．我方已仔细研究了</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（标段名称）招标文件的全部内容，愿意以人民币（大写）</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szCs w:val="21"/>
          <w:u w:val="single"/>
        </w:rPr>
        <w:t xml:space="preserve">           </w:t>
      </w:r>
      <w:r>
        <w:rPr>
          <w:rFonts w:hint="eastAsia" w:ascii="宋体" w:hAnsi="宋体"/>
          <w:color w:val="000000"/>
          <w:szCs w:val="21"/>
        </w:rPr>
        <w:t>）的投标总报价，工期</w:t>
      </w:r>
      <w:r>
        <w:rPr>
          <w:rFonts w:hint="eastAsia" w:ascii="宋体" w:hAnsi="宋体"/>
          <w:color w:val="000000"/>
          <w:szCs w:val="21"/>
          <w:u w:val="single"/>
        </w:rPr>
        <w:t xml:space="preserve">          </w:t>
      </w:r>
      <w:r>
        <w:rPr>
          <w:rFonts w:hint="eastAsia" w:ascii="宋体" w:hAnsi="宋体"/>
          <w:color w:val="000000"/>
          <w:szCs w:val="21"/>
        </w:rPr>
        <w:t xml:space="preserve"> 日历天，按合同约定实施和完成承包工程，修补工程中的任何缺陷，工程质量达到</w:t>
      </w:r>
      <w:r>
        <w:rPr>
          <w:rFonts w:hint="eastAsia" w:ascii="宋体" w:hAnsi="宋体"/>
          <w:color w:val="000000"/>
          <w:szCs w:val="21"/>
          <w:u w:val="single"/>
        </w:rPr>
        <w:t xml:space="preserve">           </w:t>
      </w:r>
      <w:r>
        <w:rPr>
          <w:rFonts w:hint="eastAsia" w:ascii="宋体" w:hAnsi="宋体"/>
          <w:color w:val="000000"/>
          <w:szCs w:val="21"/>
        </w:rPr>
        <w:t xml:space="preserve"> 。</w:t>
      </w:r>
    </w:p>
    <w:p>
      <w:pPr>
        <w:pStyle w:val="92"/>
        <w:spacing w:line="400" w:lineRule="exact"/>
        <w:ind w:firstLine="420" w:firstLineChars="200"/>
        <w:jc w:val="left"/>
        <w:rPr>
          <w:rFonts w:ascii="宋体" w:hAnsi="宋体"/>
          <w:color w:val="000000"/>
          <w:szCs w:val="21"/>
        </w:rPr>
      </w:pPr>
      <w:r>
        <w:rPr>
          <w:rFonts w:hint="eastAsia" w:ascii="宋体" w:hAnsi="宋体"/>
          <w:color w:val="000000"/>
          <w:szCs w:val="21"/>
        </w:rPr>
        <w:t>2．我方承诺在投标有效期内不补充、修改、替代或撤回本投标文件。</w:t>
      </w:r>
    </w:p>
    <w:p>
      <w:pPr>
        <w:pStyle w:val="92"/>
        <w:spacing w:line="400" w:lineRule="exact"/>
        <w:ind w:firstLine="420" w:firstLineChars="200"/>
        <w:rPr>
          <w:rFonts w:ascii="宋体" w:hAnsi="宋体"/>
          <w:color w:val="000000"/>
          <w:szCs w:val="21"/>
        </w:rPr>
      </w:pPr>
      <w:r>
        <w:rPr>
          <w:rFonts w:hint="eastAsia" w:ascii="宋体" w:hAnsi="宋体"/>
          <w:color w:val="000000"/>
          <w:szCs w:val="21"/>
        </w:rPr>
        <w:t>3． 随同本投标函提交投标保证金一份，金额为人民币（大写）</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szCs w:val="21"/>
          <w:u w:val="single"/>
        </w:rPr>
        <w:t xml:space="preserve">      </w:t>
      </w:r>
      <w:r>
        <w:rPr>
          <w:rFonts w:hint="eastAsia" w:ascii="宋体" w:hAnsi="宋体"/>
          <w:color w:val="000000"/>
          <w:szCs w:val="21"/>
        </w:rPr>
        <w:t>元 ）。</w:t>
      </w:r>
    </w:p>
    <w:p>
      <w:pPr>
        <w:pStyle w:val="92"/>
        <w:spacing w:line="400" w:lineRule="exact"/>
        <w:ind w:firstLine="420" w:firstLineChars="200"/>
        <w:rPr>
          <w:rFonts w:ascii="宋体" w:hAnsi="宋体"/>
          <w:color w:val="000000"/>
          <w:szCs w:val="21"/>
        </w:rPr>
      </w:pPr>
      <w:r>
        <w:rPr>
          <w:rFonts w:hint="eastAsia" w:ascii="宋体" w:hAnsi="宋体"/>
          <w:color w:val="000000"/>
          <w:szCs w:val="21"/>
        </w:rPr>
        <w:t>4．如我方中标：</w:t>
      </w:r>
    </w:p>
    <w:p>
      <w:pPr>
        <w:pStyle w:val="92"/>
        <w:spacing w:line="400" w:lineRule="exact"/>
        <w:ind w:firstLine="718" w:firstLineChars="342"/>
        <w:rPr>
          <w:rFonts w:ascii="宋体" w:hAnsi="宋体"/>
          <w:color w:val="000000"/>
          <w:szCs w:val="21"/>
        </w:rPr>
      </w:pPr>
      <w:r>
        <w:rPr>
          <w:rFonts w:hint="eastAsia" w:ascii="宋体" w:hAnsi="宋体"/>
          <w:color w:val="000000"/>
          <w:szCs w:val="21"/>
        </w:rPr>
        <w:t>（1）我方承诺在收到中标通知书后，在中标通知书规定的期限内与你方签订合同。</w:t>
      </w:r>
    </w:p>
    <w:p>
      <w:pPr>
        <w:pStyle w:val="92"/>
        <w:spacing w:line="400" w:lineRule="exact"/>
        <w:ind w:firstLine="718" w:firstLineChars="342"/>
        <w:rPr>
          <w:rFonts w:ascii="宋体" w:hAnsi="宋体"/>
          <w:color w:val="000000"/>
          <w:szCs w:val="21"/>
        </w:rPr>
      </w:pPr>
      <w:r>
        <w:rPr>
          <w:rFonts w:hint="eastAsia" w:ascii="宋体" w:hAnsi="宋体"/>
          <w:color w:val="000000"/>
          <w:szCs w:val="21"/>
        </w:rPr>
        <w:t>（2）随同本投标函递交的投标函附录属于合同文件的组成部分。</w:t>
      </w:r>
    </w:p>
    <w:p>
      <w:pPr>
        <w:pStyle w:val="92"/>
        <w:spacing w:line="400" w:lineRule="exact"/>
        <w:ind w:firstLine="718" w:firstLineChars="342"/>
        <w:rPr>
          <w:rFonts w:ascii="宋体" w:hAnsi="宋体"/>
          <w:color w:val="000000"/>
          <w:szCs w:val="21"/>
        </w:rPr>
      </w:pPr>
      <w:r>
        <w:rPr>
          <w:rFonts w:hint="eastAsia" w:ascii="宋体" w:hAnsi="宋体"/>
          <w:color w:val="000000"/>
          <w:szCs w:val="21"/>
        </w:rPr>
        <w:t>（3）我方承诺按照招标文件规定向你方递交履约担保。</w:t>
      </w:r>
    </w:p>
    <w:p>
      <w:pPr>
        <w:pStyle w:val="92"/>
        <w:spacing w:line="400" w:lineRule="exact"/>
        <w:ind w:firstLine="718" w:firstLineChars="342"/>
        <w:rPr>
          <w:rFonts w:ascii="宋体" w:hAnsi="宋体"/>
          <w:color w:val="000000"/>
          <w:szCs w:val="21"/>
        </w:rPr>
      </w:pPr>
      <w:r>
        <w:rPr>
          <w:rFonts w:hint="eastAsia" w:ascii="宋体" w:hAnsi="宋体"/>
          <w:color w:val="000000"/>
          <w:szCs w:val="21"/>
        </w:rPr>
        <w:t>（4）我方承诺在合同约定的期限内完成并移交全部合同工程。</w:t>
      </w:r>
    </w:p>
    <w:p>
      <w:pPr>
        <w:pStyle w:val="92"/>
        <w:spacing w:line="400" w:lineRule="exact"/>
        <w:ind w:firstLine="420" w:firstLineChars="200"/>
        <w:rPr>
          <w:rFonts w:ascii="宋体" w:hAnsi="宋体"/>
          <w:color w:val="000000"/>
          <w:szCs w:val="21"/>
        </w:rPr>
      </w:pPr>
      <w:r>
        <w:rPr>
          <w:rFonts w:hint="eastAsia" w:ascii="宋体" w:hAnsi="宋体"/>
          <w:color w:val="000000"/>
          <w:szCs w:val="21"/>
        </w:rPr>
        <w:t>5．我方在此声明，所递交的投标文件及有关资料内容完整、真实和准确，且不存在第二章“投标人须知”第1.4.3项规定的任何一种情形。</w:t>
      </w:r>
    </w:p>
    <w:p>
      <w:pPr>
        <w:pStyle w:val="92"/>
        <w:spacing w:line="400" w:lineRule="exact"/>
        <w:ind w:firstLine="420" w:firstLineChars="200"/>
        <w:rPr>
          <w:rFonts w:ascii="宋体" w:hAnsi="宋体"/>
          <w:color w:val="000000"/>
          <w:szCs w:val="21"/>
        </w:rPr>
      </w:pPr>
      <w:r>
        <w:rPr>
          <w:rFonts w:hint="eastAsia" w:ascii="宋体" w:hAnsi="宋体"/>
          <w:color w:val="000000"/>
          <w:szCs w:val="21"/>
        </w:rPr>
        <w:t>6．</w:t>
      </w:r>
      <w:r>
        <w:rPr>
          <w:rFonts w:hint="eastAsia" w:ascii="宋体" w:hAnsi="宋体"/>
          <w:color w:val="000000"/>
          <w:szCs w:val="21"/>
          <w:u w:val="single"/>
        </w:rPr>
        <w:t xml:space="preserve">                                       </w:t>
      </w:r>
      <w:r>
        <w:rPr>
          <w:rFonts w:hint="eastAsia" w:ascii="宋体" w:hAnsi="宋体"/>
          <w:color w:val="000000"/>
          <w:szCs w:val="21"/>
        </w:rPr>
        <w:t>（其他补充说明）。</w:t>
      </w:r>
    </w:p>
    <w:p>
      <w:pPr>
        <w:pStyle w:val="92"/>
        <w:spacing w:line="400" w:lineRule="exact"/>
        <w:rPr>
          <w:rFonts w:ascii="宋体" w:hAnsi="宋体"/>
          <w:color w:val="000000"/>
          <w:szCs w:val="21"/>
        </w:rPr>
      </w:pPr>
    </w:p>
    <w:p>
      <w:pPr>
        <w:pStyle w:val="92"/>
        <w:spacing w:line="400" w:lineRule="exact"/>
        <w:ind w:firstLine="3675" w:firstLineChars="1750"/>
        <w:rPr>
          <w:rFonts w:ascii="宋体" w:hAnsi="宋体"/>
          <w:color w:val="000000"/>
          <w:szCs w:val="21"/>
        </w:rPr>
      </w:pPr>
      <w:r>
        <w:rPr>
          <w:rFonts w:hint="eastAsia" w:ascii="宋体" w:hAnsi="宋体"/>
          <w:color w:val="000000"/>
          <w:szCs w:val="21"/>
        </w:rPr>
        <w:t>投 标 人：</w:t>
      </w:r>
      <w:r>
        <w:rPr>
          <w:rFonts w:hint="eastAsia" w:ascii="宋体" w:hAnsi="宋体"/>
          <w:color w:val="000000"/>
          <w:szCs w:val="21"/>
          <w:u w:val="single"/>
        </w:rPr>
        <w:t xml:space="preserve">                      </w:t>
      </w:r>
      <w:r>
        <w:rPr>
          <w:rFonts w:hint="eastAsia" w:ascii="宋体" w:hAnsi="宋体"/>
          <w:color w:val="000000"/>
          <w:szCs w:val="21"/>
        </w:rPr>
        <w:t>（盖单位章）</w:t>
      </w:r>
    </w:p>
    <w:p>
      <w:pPr>
        <w:pStyle w:val="92"/>
        <w:spacing w:line="400" w:lineRule="exact"/>
        <w:ind w:firstLine="3675" w:firstLineChars="1750"/>
        <w:rPr>
          <w:rFonts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rPr>
        <w:t>（签字）</w:t>
      </w:r>
    </w:p>
    <w:p>
      <w:pPr>
        <w:pStyle w:val="92"/>
        <w:spacing w:line="400" w:lineRule="exact"/>
        <w:ind w:firstLine="3675" w:firstLineChars="175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r>
        <w:rPr>
          <w:rFonts w:hint="eastAsia" w:ascii="宋体" w:hAnsi="宋体"/>
          <w:color w:val="000000"/>
          <w:szCs w:val="21"/>
        </w:rPr>
        <w:t>网址：</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r>
        <w:rPr>
          <w:rFonts w:hint="eastAsia" w:ascii="宋体" w:hAnsi="宋体"/>
          <w:color w:val="000000"/>
          <w:szCs w:val="21"/>
        </w:rPr>
        <w:t>传真：</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r>
        <w:rPr>
          <w:rFonts w:hint="eastAsia" w:ascii="宋体" w:hAnsi="宋体"/>
          <w:color w:val="000000"/>
          <w:szCs w:val="21"/>
        </w:rPr>
        <w:t>邮政编码：</w:t>
      </w:r>
      <w:r>
        <w:rPr>
          <w:rFonts w:hint="eastAsia" w:ascii="宋体" w:hAnsi="宋体"/>
          <w:color w:val="000000"/>
          <w:szCs w:val="21"/>
          <w:u w:val="single"/>
        </w:rPr>
        <w:t xml:space="preserve">                                 </w:t>
      </w:r>
    </w:p>
    <w:p>
      <w:pPr>
        <w:pStyle w:val="92"/>
        <w:spacing w:line="400" w:lineRule="exact"/>
        <w:ind w:firstLine="3675" w:firstLineChars="1750"/>
        <w:rPr>
          <w:rFonts w:ascii="宋体" w:hAnsi="宋体"/>
          <w:color w:val="000000"/>
          <w:szCs w:val="21"/>
        </w:rPr>
      </w:pPr>
    </w:p>
    <w:p>
      <w:pPr>
        <w:pStyle w:val="92"/>
        <w:spacing w:line="400" w:lineRule="exact"/>
        <w:ind w:firstLine="4725" w:firstLineChars="2250"/>
        <w:rPr>
          <w:rFonts w:ascii="宋体" w:hAnsi="宋体"/>
          <w:color w:val="000000"/>
          <w:szCs w:val="21"/>
        </w:rPr>
      </w:pPr>
      <w:r>
        <w:rPr>
          <w:rFonts w:hint="eastAsia" w:ascii="宋体" w:hAnsi="宋体"/>
          <w:color w:val="000000"/>
          <w:szCs w:val="21"/>
          <w:u w:val="single"/>
        </w:rPr>
        <w:t>___   __</w:t>
      </w:r>
      <w:r>
        <w:rPr>
          <w:rFonts w:hint="eastAsia" w:ascii="宋体" w:hAnsi="宋体"/>
          <w:color w:val="000000"/>
          <w:szCs w:val="21"/>
        </w:rPr>
        <w:t>年</w:t>
      </w:r>
      <w:r>
        <w:rPr>
          <w:rFonts w:hint="eastAsia" w:ascii="宋体" w:hAnsi="宋体"/>
          <w:color w:val="000000"/>
          <w:szCs w:val="21"/>
          <w:u w:val="single"/>
        </w:rPr>
        <w:t>__   __</w:t>
      </w:r>
      <w:r>
        <w:rPr>
          <w:rFonts w:hint="eastAsia" w:ascii="宋体" w:hAnsi="宋体"/>
          <w:color w:val="000000"/>
          <w:szCs w:val="21"/>
        </w:rPr>
        <w:t>月__</w:t>
      </w:r>
      <w:r>
        <w:rPr>
          <w:rFonts w:hint="eastAsia" w:ascii="宋体" w:hAnsi="宋体"/>
          <w:color w:val="000000"/>
          <w:szCs w:val="21"/>
          <w:u w:val="single"/>
        </w:rPr>
        <w:t>_  _</w:t>
      </w:r>
      <w:r>
        <w:rPr>
          <w:rFonts w:hint="eastAsia" w:ascii="宋体" w:hAnsi="宋体"/>
          <w:color w:val="000000"/>
          <w:szCs w:val="21"/>
        </w:rPr>
        <w:t>日</w:t>
      </w:r>
    </w:p>
    <w:p>
      <w:pPr>
        <w:pStyle w:val="92"/>
        <w:spacing w:line="400" w:lineRule="exact"/>
        <w:rPr>
          <w:rFonts w:ascii="Times New Roman" w:hAnsi="Times New Roman" w:eastAsia="黑体"/>
          <w:color w:val="000000"/>
          <w:sz w:val="20"/>
          <w:szCs w:val="20"/>
        </w:rPr>
      </w:pPr>
    </w:p>
    <w:p>
      <w:pPr>
        <w:pStyle w:val="92"/>
        <w:spacing w:line="400" w:lineRule="exact"/>
        <w:rPr>
          <w:rFonts w:eastAsia="黑体"/>
          <w:color w:val="000000"/>
          <w:sz w:val="19"/>
          <w:szCs w:val="19"/>
        </w:rPr>
      </w:pPr>
      <w:r>
        <w:rPr>
          <w:rFonts w:eastAsia="黑体"/>
          <w:color w:val="000000"/>
          <w:sz w:val="19"/>
          <w:szCs w:val="19"/>
        </w:rPr>
        <w:br w:type="page"/>
      </w:r>
    </w:p>
    <w:p>
      <w:pPr>
        <w:pStyle w:val="2"/>
        <w:rPr>
          <w:rFonts w:hint="eastAsia" w:ascii="黑体" w:hAnsi="黑体" w:eastAsia="黑体" w:cs="黑体"/>
          <w:sz w:val="24"/>
          <w:szCs w:val="24"/>
        </w:rPr>
      </w:pPr>
      <w:bookmarkStart w:id="1135" w:name="_Toc152045790"/>
      <w:bookmarkStart w:id="1136" w:name="_Toc510188373"/>
      <w:bookmarkStart w:id="1137" w:name="_Toc152042579"/>
      <w:bookmarkStart w:id="1138" w:name="_Toc292265450"/>
      <w:bookmarkStart w:id="1139" w:name="_Toc491934078"/>
      <w:bookmarkStart w:id="1140" w:name="_Toc476735674"/>
      <w:bookmarkStart w:id="1141" w:name="_Toc179632810"/>
      <w:bookmarkStart w:id="1142" w:name="_Toc447823644"/>
      <w:r>
        <w:rPr>
          <w:rFonts w:hint="eastAsia" w:ascii="黑体" w:hAnsi="黑体" w:eastAsia="黑体" w:cs="黑体"/>
          <w:sz w:val="24"/>
          <w:szCs w:val="24"/>
        </w:rPr>
        <w:t>（二）投标函附录</w:t>
      </w:r>
      <w:bookmarkEnd w:id="1135"/>
      <w:bookmarkEnd w:id="1136"/>
      <w:bookmarkEnd w:id="1137"/>
      <w:bookmarkEnd w:id="1138"/>
      <w:bookmarkEnd w:id="1139"/>
      <w:bookmarkEnd w:id="1140"/>
      <w:bookmarkEnd w:id="1141"/>
      <w:bookmarkEnd w:id="1142"/>
    </w:p>
    <w:p>
      <w:pPr>
        <w:spacing w:line="440" w:lineRule="exact"/>
        <w:rPr>
          <w:rFonts w:hint="eastAsia" w:ascii="宋体" w:hAnsi="宋体" w:cs="宋体"/>
          <w:szCs w:val="21"/>
        </w:rPr>
      </w:pP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33"/>
        <w:gridCol w:w="1491"/>
        <w:gridCol w:w="3779"/>
        <w:gridCol w:w="7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07" w:type="dxa"/>
            <w:noWrap w:val="0"/>
            <w:vAlign w:val="center"/>
          </w:tcPr>
          <w:p>
            <w:pPr>
              <w:spacing w:line="240" w:lineRule="exact"/>
              <w:jc w:val="center"/>
              <w:rPr>
                <w:rFonts w:hint="eastAsia" w:ascii="宋体" w:hAnsi="宋体" w:cs="宋体"/>
                <w:szCs w:val="21"/>
              </w:rPr>
            </w:pPr>
            <w:r>
              <w:rPr>
                <w:rFonts w:hint="eastAsia" w:ascii="宋体" w:hAnsi="宋体" w:cs="宋体"/>
                <w:szCs w:val="21"/>
              </w:rPr>
              <w:t>序号</w:t>
            </w:r>
          </w:p>
        </w:tc>
        <w:tc>
          <w:tcPr>
            <w:tcW w:w="2533" w:type="dxa"/>
            <w:noWrap w:val="0"/>
            <w:vAlign w:val="center"/>
          </w:tcPr>
          <w:p>
            <w:pPr>
              <w:spacing w:line="240" w:lineRule="exact"/>
              <w:jc w:val="center"/>
              <w:rPr>
                <w:rFonts w:hint="eastAsia" w:ascii="宋体" w:hAnsi="宋体" w:cs="宋体"/>
                <w:szCs w:val="21"/>
              </w:rPr>
            </w:pPr>
            <w:r>
              <w:rPr>
                <w:rFonts w:hint="eastAsia" w:ascii="宋体" w:hAnsi="宋体" w:cs="宋体"/>
                <w:szCs w:val="21"/>
              </w:rPr>
              <w:t>条款名称</w:t>
            </w:r>
          </w:p>
        </w:tc>
        <w:tc>
          <w:tcPr>
            <w:tcW w:w="1491" w:type="dxa"/>
            <w:noWrap w:val="0"/>
            <w:vAlign w:val="center"/>
          </w:tcPr>
          <w:p>
            <w:pPr>
              <w:spacing w:line="240" w:lineRule="exact"/>
              <w:jc w:val="center"/>
              <w:rPr>
                <w:rFonts w:hint="eastAsia" w:ascii="宋体" w:hAnsi="宋体" w:cs="宋体"/>
                <w:szCs w:val="21"/>
              </w:rPr>
            </w:pPr>
            <w:r>
              <w:rPr>
                <w:rFonts w:hint="eastAsia" w:ascii="宋体" w:hAnsi="宋体" w:cs="宋体"/>
                <w:szCs w:val="21"/>
              </w:rPr>
              <w:t>合同条款号</w:t>
            </w:r>
          </w:p>
        </w:tc>
        <w:tc>
          <w:tcPr>
            <w:tcW w:w="3779" w:type="dxa"/>
            <w:noWrap w:val="0"/>
            <w:vAlign w:val="center"/>
          </w:tcPr>
          <w:p>
            <w:pPr>
              <w:spacing w:line="240" w:lineRule="exact"/>
              <w:jc w:val="center"/>
              <w:rPr>
                <w:rFonts w:hint="eastAsia" w:ascii="宋体" w:hAnsi="宋体" w:cs="宋体"/>
                <w:szCs w:val="21"/>
              </w:rPr>
            </w:pPr>
            <w:r>
              <w:rPr>
                <w:rFonts w:hint="eastAsia" w:ascii="宋体" w:hAnsi="宋体" w:cs="宋体"/>
                <w:szCs w:val="21"/>
              </w:rPr>
              <w:t>约定内容</w:t>
            </w:r>
          </w:p>
        </w:tc>
        <w:tc>
          <w:tcPr>
            <w:tcW w:w="776" w:type="dxa"/>
            <w:noWrap w:val="0"/>
            <w:vAlign w:val="center"/>
          </w:tcPr>
          <w:p>
            <w:pPr>
              <w:spacing w:line="240" w:lineRule="exact"/>
              <w:jc w:val="center"/>
              <w:rPr>
                <w:rFonts w:hint="eastAsia" w:ascii="宋体" w:hAnsi="宋体" w:cs="宋体"/>
                <w:szCs w:val="21"/>
              </w:rPr>
            </w:pPr>
            <w:r>
              <w:rPr>
                <w:rFonts w:hint="eastAsia" w:ascii="宋体" w:hAns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7" w:type="dxa"/>
            <w:noWrap w:val="0"/>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2533" w:type="dxa"/>
            <w:noWrap w:val="0"/>
            <w:vAlign w:val="center"/>
          </w:tcPr>
          <w:p>
            <w:pPr>
              <w:spacing w:line="240" w:lineRule="exact"/>
              <w:jc w:val="center"/>
              <w:rPr>
                <w:rFonts w:hint="eastAsia" w:ascii="宋体" w:hAnsi="宋体" w:cs="宋体"/>
                <w:szCs w:val="21"/>
              </w:rPr>
            </w:pPr>
            <w:r>
              <w:rPr>
                <w:rFonts w:hint="eastAsia" w:ascii="宋体" w:hAnsi="宋体" w:cs="宋体"/>
                <w:szCs w:val="21"/>
              </w:rPr>
              <w:t>项目经理</w:t>
            </w:r>
          </w:p>
        </w:tc>
        <w:tc>
          <w:tcPr>
            <w:tcW w:w="1491" w:type="dxa"/>
            <w:noWrap w:val="0"/>
            <w:vAlign w:val="center"/>
          </w:tcPr>
          <w:p>
            <w:pPr>
              <w:spacing w:line="240" w:lineRule="exact"/>
              <w:jc w:val="center"/>
              <w:rPr>
                <w:rFonts w:hint="eastAsia" w:ascii="宋体" w:hAnsi="宋体" w:cs="宋体"/>
                <w:szCs w:val="21"/>
              </w:rPr>
            </w:pPr>
            <w:r>
              <w:rPr>
                <w:rFonts w:hint="eastAsia" w:ascii="宋体" w:hAnsi="宋体" w:cs="宋体"/>
                <w:szCs w:val="21"/>
              </w:rPr>
              <w:t>1.1.2.4</w:t>
            </w:r>
          </w:p>
        </w:tc>
        <w:tc>
          <w:tcPr>
            <w:tcW w:w="3779" w:type="dxa"/>
            <w:noWrap w:val="0"/>
            <w:vAlign w:val="center"/>
          </w:tcPr>
          <w:p>
            <w:pPr>
              <w:spacing w:line="240" w:lineRule="exact"/>
              <w:ind w:firstLine="315" w:firstLineChars="150"/>
              <w:rPr>
                <w:rFonts w:hint="eastAsia" w:ascii="宋体" w:hAnsi="宋体" w:cs="宋体"/>
                <w:szCs w:val="21"/>
                <w:u w:val="single"/>
              </w:rPr>
            </w:pPr>
            <w:r>
              <w:rPr>
                <w:rFonts w:hint="eastAsia" w:ascii="宋体" w:hAnsi="宋体" w:cs="宋体"/>
                <w:szCs w:val="21"/>
              </w:rPr>
              <w:t>姓名：</w:t>
            </w:r>
          </w:p>
        </w:tc>
        <w:tc>
          <w:tcPr>
            <w:tcW w:w="776" w:type="dxa"/>
            <w:noWrap w:val="0"/>
            <w:vAlign w:val="center"/>
          </w:tcPr>
          <w:p>
            <w:pPr>
              <w:spacing w:line="240" w:lineRule="exact"/>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7" w:type="dxa"/>
            <w:noWrap w:val="0"/>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2533" w:type="dxa"/>
            <w:noWrap w:val="0"/>
            <w:vAlign w:val="center"/>
          </w:tcPr>
          <w:p>
            <w:pPr>
              <w:spacing w:line="240" w:lineRule="exact"/>
              <w:jc w:val="center"/>
              <w:rPr>
                <w:rFonts w:hint="eastAsia" w:ascii="宋体" w:hAnsi="宋体" w:cs="宋体"/>
                <w:szCs w:val="21"/>
              </w:rPr>
            </w:pPr>
            <w:r>
              <w:rPr>
                <w:rFonts w:hint="eastAsia" w:ascii="宋体" w:hAnsi="宋体" w:cs="宋体"/>
                <w:szCs w:val="21"/>
              </w:rPr>
              <w:t>工期</w:t>
            </w:r>
          </w:p>
        </w:tc>
        <w:tc>
          <w:tcPr>
            <w:tcW w:w="1491" w:type="dxa"/>
            <w:noWrap w:val="0"/>
            <w:vAlign w:val="center"/>
          </w:tcPr>
          <w:p>
            <w:pPr>
              <w:spacing w:line="240" w:lineRule="exact"/>
              <w:jc w:val="center"/>
              <w:rPr>
                <w:rFonts w:hint="eastAsia" w:ascii="宋体" w:hAnsi="宋体" w:cs="宋体"/>
                <w:szCs w:val="21"/>
              </w:rPr>
            </w:pPr>
            <w:r>
              <w:rPr>
                <w:rFonts w:hint="eastAsia" w:ascii="宋体" w:hAnsi="宋体" w:cs="宋体"/>
                <w:szCs w:val="21"/>
              </w:rPr>
              <w:t>1.1.4.3</w:t>
            </w:r>
          </w:p>
        </w:tc>
        <w:tc>
          <w:tcPr>
            <w:tcW w:w="3779" w:type="dxa"/>
            <w:noWrap w:val="0"/>
            <w:vAlign w:val="center"/>
          </w:tcPr>
          <w:p>
            <w:pPr>
              <w:spacing w:line="24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240" w:lineRule="exact"/>
              <w:rPr>
                <w:rFonts w:hint="eastAsia" w:ascii="宋体" w:hAnsi="宋体" w:cs="宋体"/>
                <w:szCs w:val="21"/>
                <w:u w:val="single"/>
              </w:rPr>
            </w:pP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日历天</w:t>
            </w:r>
            <w:r>
              <w:rPr>
                <w:rFonts w:hint="eastAsia" w:ascii="宋体" w:hAnsi="宋体" w:cs="宋体"/>
                <w:szCs w:val="21"/>
                <w:u w:val="single"/>
              </w:rPr>
              <w:t xml:space="preserve">                                     </w:t>
            </w:r>
          </w:p>
        </w:tc>
        <w:tc>
          <w:tcPr>
            <w:tcW w:w="776" w:type="dxa"/>
            <w:noWrap w:val="0"/>
            <w:vAlign w:val="center"/>
          </w:tcPr>
          <w:p>
            <w:pPr>
              <w:spacing w:line="240" w:lineRule="exact"/>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7" w:type="dxa"/>
            <w:noWrap w:val="0"/>
            <w:vAlign w:val="center"/>
          </w:tcPr>
          <w:p>
            <w:pPr>
              <w:spacing w:line="240" w:lineRule="exact"/>
              <w:jc w:val="center"/>
              <w:rPr>
                <w:rFonts w:hint="eastAsia" w:ascii="宋体" w:hAnsi="宋体" w:cs="宋体"/>
                <w:szCs w:val="21"/>
              </w:rPr>
            </w:pPr>
            <w:r>
              <w:rPr>
                <w:rFonts w:hint="eastAsia" w:ascii="宋体" w:hAnsi="宋体" w:cs="宋体"/>
                <w:szCs w:val="21"/>
              </w:rPr>
              <w:t>3</w:t>
            </w:r>
          </w:p>
        </w:tc>
        <w:tc>
          <w:tcPr>
            <w:tcW w:w="2533" w:type="dxa"/>
            <w:noWrap w:val="0"/>
            <w:vAlign w:val="center"/>
          </w:tcPr>
          <w:p>
            <w:pPr>
              <w:spacing w:line="240" w:lineRule="exact"/>
              <w:jc w:val="center"/>
              <w:rPr>
                <w:rFonts w:hint="eastAsia" w:ascii="宋体" w:hAnsi="宋体" w:cs="宋体"/>
                <w:szCs w:val="21"/>
              </w:rPr>
            </w:pPr>
            <w:r>
              <w:rPr>
                <w:rFonts w:hint="eastAsia" w:ascii="宋体" w:hAnsi="宋体" w:cs="宋体"/>
                <w:szCs w:val="21"/>
              </w:rPr>
              <w:t>缺陷责任期</w:t>
            </w:r>
          </w:p>
          <w:p>
            <w:pPr>
              <w:spacing w:line="240" w:lineRule="exact"/>
              <w:jc w:val="center"/>
              <w:rPr>
                <w:rFonts w:hint="eastAsia" w:ascii="宋体" w:hAnsi="宋体" w:cs="宋体"/>
                <w:szCs w:val="21"/>
              </w:rPr>
            </w:pPr>
            <w:r>
              <w:rPr>
                <w:rFonts w:hint="eastAsia" w:ascii="宋体" w:hAnsi="宋体" w:cs="宋体"/>
                <w:szCs w:val="21"/>
              </w:rPr>
              <w:t>（工程质量保修期）</w:t>
            </w:r>
          </w:p>
        </w:tc>
        <w:tc>
          <w:tcPr>
            <w:tcW w:w="1491" w:type="dxa"/>
            <w:noWrap w:val="0"/>
            <w:vAlign w:val="center"/>
          </w:tcPr>
          <w:p>
            <w:pPr>
              <w:spacing w:line="240" w:lineRule="exact"/>
              <w:jc w:val="center"/>
              <w:rPr>
                <w:rFonts w:hint="eastAsia" w:ascii="宋体" w:hAnsi="宋体" w:cs="宋体"/>
                <w:szCs w:val="21"/>
              </w:rPr>
            </w:pPr>
            <w:r>
              <w:rPr>
                <w:rFonts w:hint="eastAsia" w:ascii="宋体" w:hAnsi="宋体" w:cs="宋体"/>
                <w:szCs w:val="21"/>
              </w:rPr>
              <w:t>1.1.4.5</w:t>
            </w:r>
          </w:p>
        </w:tc>
        <w:tc>
          <w:tcPr>
            <w:tcW w:w="3779" w:type="dxa"/>
            <w:noWrap w:val="0"/>
            <w:vAlign w:val="center"/>
          </w:tcPr>
          <w:p>
            <w:pPr>
              <w:spacing w:line="240" w:lineRule="exact"/>
              <w:rPr>
                <w:rFonts w:hint="eastAsia" w:ascii="宋体" w:hAnsi="宋体" w:cs="宋体"/>
                <w:szCs w:val="21"/>
              </w:rPr>
            </w:pPr>
          </w:p>
        </w:tc>
        <w:tc>
          <w:tcPr>
            <w:tcW w:w="776" w:type="dxa"/>
            <w:noWrap w:val="0"/>
            <w:vAlign w:val="center"/>
          </w:tcPr>
          <w:p>
            <w:pPr>
              <w:spacing w:line="240" w:lineRule="exact"/>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7" w:type="dxa"/>
            <w:noWrap w:val="0"/>
            <w:vAlign w:val="center"/>
          </w:tcPr>
          <w:p>
            <w:pPr>
              <w:spacing w:line="240" w:lineRule="exact"/>
              <w:jc w:val="center"/>
              <w:rPr>
                <w:rFonts w:hint="eastAsia" w:ascii="宋体" w:hAnsi="宋体" w:cs="宋体"/>
                <w:szCs w:val="21"/>
              </w:rPr>
            </w:pPr>
            <w:r>
              <w:rPr>
                <w:rFonts w:hint="eastAsia" w:ascii="宋体" w:hAnsi="宋体" w:cs="宋体"/>
                <w:szCs w:val="21"/>
              </w:rPr>
              <w:t>4</w:t>
            </w:r>
          </w:p>
        </w:tc>
        <w:tc>
          <w:tcPr>
            <w:tcW w:w="2533" w:type="dxa"/>
            <w:noWrap w:val="0"/>
            <w:vAlign w:val="center"/>
          </w:tcPr>
          <w:p>
            <w:pPr>
              <w:spacing w:line="240" w:lineRule="exact"/>
              <w:jc w:val="center"/>
              <w:rPr>
                <w:rFonts w:hint="eastAsia" w:ascii="宋体" w:hAnsi="宋体" w:cs="宋体"/>
                <w:szCs w:val="21"/>
              </w:rPr>
            </w:pPr>
            <w:r>
              <w:rPr>
                <w:rFonts w:hint="eastAsia" w:ascii="宋体" w:hAnsi="宋体" w:cs="宋体"/>
                <w:szCs w:val="21"/>
              </w:rPr>
              <w:t>质量</w:t>
            </w:r>
          </w:p>
        </w:tc>
        <w:tc>
          <w:tcPr>
            <w:tcW w:w="1491" w:type="dxa"/>
            <w:noWrap w:val="0"/>
            <w:vAlign w:val="center"/>
          </w:tcPr>
          <w:p>
            <w:pPr>
              <w:spacing w:line="240" w:lineRule="exact"/>
              <w:jc w:val="center"/>
              <w:rPr>
                <w:rFonts w:hint="eastAsia" w:ascii="宋体" w:hAnsi="宋体" w:cs="宋体"/>
                <w:szCs w:val="21"/>
              </w:rPr>
            </w:pPr>
            <w:r>
              <w:rPr>
                <w:rFonts w:hint="eastAsia" w:ascii="宋体" w:hAnsi="宋体" w:cs="宋体"/>
                <w:szCs w:val="21"/>
              </w:rPr>
              <w:t>13.7.7</w:t>
            </w:r>
          </w:p>
        </w:tc>
        <w:tc>
          <w:tcPr>
            <w:tcW w:w="3779" w:type="dxa"/>
            <w:noWrap w:val="0"/>
            <w:vAlign w:val="center"/>
          </w:tcPr>
          <w:p>
            <w:pPr>
              <w:spacing w:line="240" w:lineRule="exact"/>
              <w:jc w:val="center"/>
              <w:rPr>
                <w:rFonts w:hint="eastAsia" w:ascii="宋体" w:hAnsi="宋体" w:cs="宋体"/>
                <w:szCs w:val="21"/>
              </w:rPr>
            </w:pPr>
          </w:p>
        </w:tc>
        <w:tc>
          <w:tcPr>
            <w:tcW w:w="776" w:type="dxa"/>
            <w:noWrap w:val="0"/>
            <w:vAlign w:val="center"/>
          </w:tcPr>
          <w:p>
            <w:pPr>
              <w:spacing w:line="240" w:lineRule="exact"/>
              <w:jc w:val="center"/>
              <w:rPr>
                <w:rFonts w:hint="eastAsia" w:ascii="宋体" w:hAnsi="宋体" w:cs="宋体"/>
                <w:szCs w:val="21"/>
              </w:rPr>
            </w:pPr>
          </w:p>
        </w:tc>
      </w:tr>
    </w:tbl>
    <w:p>
      <w:pPr>
        <w:spacing w:line="440" w:lineRule="exact"/>
        <w:ind w:left="840" w:leftChars="400" w:firstLine="2310" w:firstLineChars="1100"/>
        <w:rPr>
          <w:rFonts w:hint="eastAsia" w:ascii="宋体" w:hAnsi="宋体" w:cs="宋体"/>
          <w:szCs w:val="21"/>
        </w:rPr>
      </w:pPr>
    </w:p>
    <w:p>
      <w:pPr>
        <w:pStyle w:val="92"/>
        <w:spacing w:line="400" w:lineRule="exact"/>
        <w:rPr>
          <w:rFonts w:ascii="宋体" w:hAnsi="宋体"/>
          <w:color w:val="000000"/>
          <w:szCs w:val="21"/>
        </w:rPr>
      </w:pPr>
    </w:p>
    <w:p>
      <w:pPr>
        <w:pStyle w:val="97"/>
        <w:outlineLvl w:val="1"/>
      </w:pPr>
      <w:r>
        <w:br w:type="page"/>
      </w:r>
      <w:bookmarkStart w:id="1143" w:name="_Toc256000089"/>
      <w:r>
        <w:rPr>
          <w:rFonts w:ascii="黑体" w:hAnsi="黑体" w:eastAsia="黑体" w:cs="黑体"/>
          <w:b/>
          <w:sz w:val="32"/>
        </w:rPr>
        <w:t>二、法定代表人身份证明及授权委托书</w:t>
      </w:r>
      <w:bookmarkEnd w:id="1143"/>
    </w:p>
    <w:p>
      <w:pPr>
        <w:pStyle w:val="98"/>
        <w:jc w:val="center"/>
        <w:rPr>
          <w:rFonts w:ascii="黑体" w:hAnsi="黑体" w:eastAsia="黑体"/>
          <w:b/>
          <w:sz w:val="30"/>
          <w:szCs w:val="30"/>
        </w:rPr>
      </w:pPr>
      <w:r>
        <w:rPr>
          <w:rFonts w:hint="eastAsia" w:ascii="黑体" w:hAnsi="黑体" w:eastAsia="黑体"/>
          <w:b/>
          <w:sz w:val="30"/>
          <w:szCs w:val="30"/>
        </w:rPr>
        <w:t>法定代表人身份证明</w:t>
      </w:r>
    </w:p>
    <w:p>
      <w:pPr>
        <w:pStyle w:val="98"/>
        <w:spacing w:line="400" w:lineRule="exact"/>
        <w:rPr>
          <w:rFonts w:ascii="Times New Roman" w:hAnsi="Times New Roman"/>
          <w:color w:val="000000"/>
          <w:sz w:val="19"/>
          <w:szCs w:val="19"/>
        </w:rPr>
      </w:pPr>
    </w:p>
    <w:p>
      <w:pPr>
        <w:pStyle w:val="98"/>
        <w:spacing w:line="400" w:lineRule="exact"/>
        <w:rPr>
          <w:rFonts w:ascii="宋体" w:hAnsi="宋体"/>
          <w:color w:val="000000"/>
          <w:szCs w:val="21"/>
        </w:rPr>
      </w:pPr>
    </w:p>
    <w:p>
      <w:pPr>
        <w:pStyle w:val="98"/>
        <w:spacing w:line="400" w:lineRule="exact"/>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pPr>
        <w:pStyle w:val="98"/>
        <w:spacing w:line="400" w:lineRule="exact"/>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pPr>
        <w:pStyle w:val="98"/>
        <w:spacing w:line="400" w:lineRule="exact"/>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pStyle w:val="98"/>
        <w:spacing w:line="400" w:lineRule="exact"/>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 xml:space="preserve"> 年</w:t>
      </w:r>
      <w:r>
        <w:rPr>
          <w:rFonts w:hint="eastAsia" w:ascii="宋体" w:hAnsi="宋体"/>
          <w:color w:val="000000"/>
          <w:szCs w:val="21"/>
          <w:u w:val="single"/>
        </w:rPr>
        <w:t xml:space="preserve">       </w:t>
      </w:r>
      <w:r>
        <w:rPr>
          <w:rFonts w:hint="eastAsia" w:ascii="宋体" w:hAnsi="宋体"/>
          <w:color w:val="000000"/>
          <w:szCs w:val="21"/>
        </w:rPr>
        <w:t xml:space="preserve"> 月</w:t>
      </w:r>
      <w:r>
        <w:rPr>
          <w:rFonts w:hint="eastAsia" w:ascii="宋体" w:hAnsi="宋体"/>
          <w:color w:val="000000"/>
          <w:szCs w:val="21"/>
          <w:u w:val="single"/>
        </w:rPr>
        <w:t xml:space="preserve">       </w:t>
      </w:r>
      <w:r>
        <w:rPr>
          <w:rFonts w:hint="eastAsia" w:ascii="宋体" w:hAnsi="宋体"/>
          <w:color w:val="000000"/>
          <w:szCs w:val="21"/>
        </w:rPr>
        <w:t xml:space="preserve"> 日</w:t>
      </w:r>
    </w:p>
    <w:p>
      <w:pPr>
        <w:pStyle w:val="98"/>
        <w:spacing w:line="400" w:lineRule="exact"/>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pStyle w:val="98"/>
        <w:spacing w:line="400" w:lineRule="exact"/>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 xml:space="preserve"> 性别：</w:t>
      </w:r>
      <w:r>
        <w:rPr>
          <w:rFonts w:hint="eastAsia" w:ascii="宋体" w:hAnsi="宋体"/>
          <w:color w:val="000000"/>
          <w:szCs w:val="21"/>
          <w:u w:val="single"/>
        </w:rPr>
        <w:t xml:space="preserve">         </w:t>
      </w:r>
      <w:r>
        <w:rPr>
          <w:rFonts w:hint="eastAsia" w:ascii="宋体" w:hAnsi="宋体"/>
          <w:color w:val="000000"/>
          <w:szCs w:val="21"/>
        </w:rPr>
        <w:t xml:space="preserve"> 年龄：</w:t>
      </w:r>
      <w:r>
        <w:rPr>
          <w:rFonts w:hint="eastAsia" w:ascii="宋体" w:hAnsi="宋体"/>
          <w:color w:val="000000"/>
          <w:szCs w:val="21"/>
          <w:u w:val="single"/>
        </w:rPr>
        <w:t xml:space="preserve">        </w:t>
      </w: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 xml:space="preserve"> (投标人名称)的法定代表人。</w:t>
      </w:r>
    </w:p>
    <w:p>
      <w:pPr>
        <w:pStyle w:val="98"/>
        <w:spacing w:line="400" w:lineRule="exact"/>
        <w:ind w:firstLine="420" w:firstLineChars="200"/>
        <w:rPr>
          <w:rFonts w:ascii="宋体" w:hAnsi="宋体"/>
          <w:color w:val="000000"/>
          <w:szCs w:val="21"/>
        </w:rPr>
      </w:pPr>
      <w:r>
        <w:rPr>
          <w:rFonts w:hint="eastAsia" w:ascii="宋体" w:hAnsi="宋体"/>
          <w:color w:val="000000"/>
          <w:szCs w:val="21"/>
        </w:rPr>
        <w:t>特此证明。</w:t>
      </w:r>
    </w:p>
    <w:p>
      <w:pPr>
        <w:pStyle w:val="98"/>
        <w:spacing w:line="400" w:lineRule="exact"/>
        <w:rPr>
          <w:rFonts w:ascii="宋体" w:hAnsi="宋体"/>
          <w:color w:val="000000"/>
          <w:szCs w:val="21"/>
        </w:rPr>
      </w:pPr>
    </w:p>
    <w:p>
      <w:pPr>
        <w:pStyle w:val="98"/>
        <w:spacing w:line="400" w:lineRule="exact"/>
        <w:rPr>
          <w:rFonts w:ascii="宋体" w:hAnsi="宋体"/>
          <w:color w:val="000000"/>
          <w:szCs w:val="21"/>
        </w:rPr>
      </w:pPr>
    </w:p>
    <w:p>
      <w:pPr>
        <w:pStyle w:val="98"/>
        <w:spacing w:line="400" w:lineRule="exact"/>
        <w:rPr>
          <w:rFonts w:ascii="宋体" w:hAnsi="宋体"/>
          <w:color w:val="000000"/>
          <w:szCs w:val="21"/>
        </w:rPr>
      </w:pPr>
      <w:r>
        <w:rPr>
          <w:rFonts w:hint="eastAsia" w:ascii="宋体" w:hAnsi="宋体"/>
          <w:color w:val="000000"/>
          <w:szCs w:val="21"/>
        </w:rPr>
        <w:t xml:space="preserve">                          投标人：</w:t>
      </w:r>
      <w:r>
        <w:rPr>
          <w:rFonts w:hint="eastAsia" w:ascii="宋体" w:hAnsi="宋体"/>
          <w:color w:val="000000"/>
          <w:szCs w:val="21"/>
          <w:u w:val="single"/>
        </w:rPr>
        <w:t xml:space="preserve">                 </w:t>
      </w:r>
      <w:r>
        <w:rPr>
          <w:rFonts w:hint="eastAsia" w:ascii="宋体" w:hAnsi="宋体"/>
          <w:color w:val="000000"/>
          <w:szCs w:val="21"/>
        </w:rPr>
        <w:t>（盖单位章）</w:t>
      </w:r>
    </w:p>
    <w:p>
      <w:pPr>
        <w:pStyle w:val="98"/>
        <w:spacing w:line="400" w:lineRule="exact"/>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 日           </w:t>
      </w:r>
    </w:p>
    <w:p>
      <w:pPr>
        <w:pStyle w:val="98"/>
        <w:spacing w:line="400" w:lineRule="exact"/>
        <w:jc w:val="center"/>
        <w:rPr>
          <w:rFonts w:ascii="Times New Roman" w:hAnsi="Times New Roman" w:eastAsia="黑体"/>
          <w:color w:val="000000"/>
          <w:sz w:val="19"/>
          <w:szCs w:val="19"/>
        </w:rPr>
      </w:pPr>
      <w:r>
        <w:rPr>
          <w:rFonts w:hint="eastAsia" w:ascii="宋体" w:hAnsi="宋体"/>
          <w:color w:val="000000"/>
          <w:szCs w:val="21"/>
        </w:rPr>
        <w:br w:type="page"/>
      </w:r>
    </w:p>
    <w:p>
      <w:pPr>
        <w:pStyle w:val="98"/>
        <w:jc w:val="center"/>
        <w:rPr>
          <w:rFonts w:ascii="黑体" w:hAnsi="黑体" w:eastAsia="黑体"/>
          <w:b/>
          <w:sz w:val="30"/>
          <w:szCs w:val="30"/>
        </w:rPr>
      </w:pPr>
      <w:r>
        <w:rPr>
          <w:rFonts w:hint="eastAsia" w:ascii="黑体" w:hAnsi="黑体" w:eastAsia="黑体"/>
          <w:b/>
          <w:sz w:val="30"/>
          <w:szCs w:val="30"/>
        </w:rPr>
        <w:t>授权委托书</w:t>
      </w:r>
    </w:p>
    <w:p>
      <w:pPr>
        <w:pStyle w:val="98"/>
        <w:spacing w:line="400" w:lineRule="exact"/>
        <w:rPr>
          <w:rFonts w:ascii="Times New Roman" w:hAnsi="Times New Roman" w:eastAsia="黑体"/>
          <w:color w:val="000000"/>
          <w:sz w:val="20"/>
          <w:szCs w:val="20"/>
        </w:rPr>
      </w:pPr>
    </w:p>
    <w:p>
      <w:pPr>
        <w:pStyle w:val="98"/>
        <w:topLinePunct/>
        <w:spacing w:line="40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w:t>
      </w:r>
      <w:r>
        <w:rPr>
          <w:color w:val="000000"/>
          <w:szCs w:val="21"/>
          <w:u w:val="single"/>
        </w:rPr>
        <w:t xml:space="preserve">           </w:t>
      </w:r>
      <w:r>
        <w:rPr>
          <w:rFonts w:hint="eastAsia"/>
          <w:color w:val="000000"/>
          <w:szCs w:val="21"/>
        </w:rPr>
        <w:t>（标段名称）投标文件、签订合同和处理有关事宜，其法律后果由我方承担。</w:t>
      </w:r>
    </w:p>
    <w:p>
      <w:pPr>
        <w:pStyle w:val="98"/>
        <w:spacing w:line="40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pStyle w:val="98"/>
        <w:spacing w:line="400" w:lineRule="exact"/>
        <w:ind w:firstLine="420" w:firstLineChars="200"/>
        <w:rPr>
          <w:color w:val="000000"/>
          <w:szCs w:val="21"/>
        </w:rPr>
      </w:pPr>
      <w:r>
        <w:rPr>
          <w:rFonts w:hint="eastAsia"/>
          <w:color w:val="000000"/>
          <w:szCs w:val="21"/>
        </w:rPr>
        <w:t>代理人无转委托权。</w:t>
      </w:r>
    </w:p>
    <w:p>
      <w:pPr>
        <w:pStyle w:val="98"/>
        <w:spacing w:line="400" w:lineRule="exact"/>
        <w:ind w:firstLine="420" w:firstLineChars="200"/>
        <w:rPr>
          <w:color w:val="000000"/>
          <w:szCs w:val="21"/>
        </w:rPr>
      </w:pPr>
      <w:r>
        <w:rPr>
          <w:rFonts w:hint="eastAsia"/>
          <w:color w:val="000000"/>
          <w:szCs w:val="21"/>
        </w:rPr>
        <w:t>附：法定代表人身份证明</w:t>
      </w:r>
    </w:p>
    <w:p>
      <w:pPr>
        <w:pStyle w:val="98"/>
        <w:spacing w:line="400" w:lineRule="exact"/>
        <w:rPr>
          <w:color w:val="000000"/>
          <w:szCs w:val="21"/>
        </w:rPr>
      </w:pPr>
    </w:p>
    <w:p>
      <w:pPr>
        <w:pStyle w:val="98"/>
        <w:spacing w:line="400" w:lineRule="exact"/>
        <w:rPr>
          <w:color w:val="000000"/>
          <w:szCs w:val="21"/>
        </w:rPr>
      </w:pPr>
    </w:p>
    <w:p>
      <w:pPr>
        <w:pStyle w:val="98"/>
        <w:spacing w:line="400" w:lineRule="exact"/>
        <w:jc w:val="righ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（盖单位章）</w:t>
      </w:r>
    </w:p>
    <w:p>
      <w:pPr>
        <w:pStyle w:val="98"/>
        <w:spacing w:line="400" w:lineRule="exact"/>
        <w:jc w:val="right"/>
        <w:rPr>
          <w:color w:val="000000"/>
          <w:szCs w:val="21"/>
        </w:rPr>
      </w:pPr>
    </w:p>
    <w:p>
      <w:pPr>
        <w:pStyle w:val="98"/>
        <w:spacing w:line="400" w:lineRule="exact"/>
        <w:jc w:val="righ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（签字）</w:t>
      </w:r>
    </w:p>
    <w:p>
      <w:pPr>
        <w:pStyle w:val="98"/>
        <w:spacing w:line="400" w:lineRule="exact"/>
        <w:jc w:val="right"/>
        <w:rPr>
          <w:color w:val="000000"/>
          <w:szCs w:val="21"/>
        </w:rPr>
      </w:pPr>
    </w:p>
    <w:p>
      <w:pPr>
        <w:pStyle w:val="98"/>
        <w:spacing w:line="400" w:lineRule="exact"/>
        <w:ind w:right="420" w:firstLine="2940" w:firstLineChars="1400"/>
        <w:rPr>
          <w:color w:val="000000"/>
          <w:szCs w:val="21"/>
        </w:rPr>
      </w:pPr>
      <w:r>
        <w:rPr>
          <w:rFonts w:hint="eastAsia"/>
          <w:color w:val="000000"/>
          <w:szCs w:val="21"/>
        </w:rPr>
        <w:t>身份证号码：</w:t>
      </w:r>
      <w:r>
        <w:rPr>
          <w:color w:val="000000"/>
          <w:szCs w:val="21"/>
          <w:u w:val="single"/>
        </w:rPr>
        <w:t xml:space="preserve">                                     </w:t>
      </w:r>
    </w:p>
    <w:p>
      <w:pPr>
        <w:pStyle w:val="98"/>
        <w:spacing w:line="400" w:lineRule="exact"/>
        <w:jc w:val="right"/>
        <w:rPr>
          <w:color w:val="000000"/>
          <w:szCs w:val="21"/>
        </w:rPr>
      </w:pPr>
    </w:p>
    <w:p>
      <w:pPr>
        <w:pStyle w:val="98"/>
        <w:spacing w:line="400" w:lineRule="exact"/>
        <w:jc w:val="right"/>
        <w:rPr>
          <w:color w:val="000000"/>
          <w:szCs w:val="21"/>
        </w:rPr>
      </w:pPr>
      <w:r>
        <w:rPr>
          <w:rFonts w:hint="eastAsia"/>
          <w:color w:val="000000"/>
          <w:szCs w:val="21"/>
        </w:rPr>
        <w:t>委托代理人：</w:t>
      </w:r>
      <w:r>
        <w:rPr>
          <w:color w:val="000000"/>
          <w:szCs w:val="21"/>
          <w:u w:val="single"/>
        </w:rPr>
        <w:t xml:space="preserve">                               </w:t>
      </w:r>
      <w:r>
        <w:rPr>
          <w:rFonts w:hint="eastAsia"/>
          <w:color w:val="000000"/>
          <w:szCs w:val="21"/>
        </w:rPr>
        <w:t>（签字）</w:t>
      </w:r>
      <w:r>
        <w:rPr>
          <w:color w:val="000000"/>
          <w:szCs w:val="21"/>
        </w:rPr>
        <w:t xml:space="preserve"> </w:t>
      </w:r>
    </w:p>
    <w:p>
      <w:pPr>
        <w:pStyle w:val="98"/>
        <w:spacing w:line="400" w:lineRule="exact"/>
        <w:jc w:val="right"/>
        <w:rPr>
          <w:color w:val="000000"/>
          <w:szCs w:val="21"/>
        </w:rPr>
      </w:pPr>
    </w:p>
    <w:p>
      <w:pPr>
        <w:pStyle w:val="98"/>
        <w:spacing w:line="400" w:lineRule="exact"/>
        <w:ind w:right="420" w:firstLine="2940" w:firstLineChars="1400"/>
        <w:rPr>
          <w:color w:val="000000"/>
          <w:szCs w:val="21"/>
        </w:rPr>
      </w:pPr>
      <w:r>
        <w:rPr>
          <w:rFonts w:hint="eastAsia"/>
          <w:color w:val="000000"/>
          <w:szCs w:val="21"/>
        </w:rPr>
        <w:t>身份证号码：</w:t>
      </w:r>
      <w:r>
        <w:rPr>
          <w:color w:val="000000"/>
          <w:szCs w:val="21"/>
          <w:u w:val="single"/>
        </w:rPr>
        <w:t xml:space="preserve">                                      </w:t>
      </w:r>
    </w:p>
    <w:p>
      <w:pPr>
        <w:pStyle w:val="98"/>
        <w:spacing w:line="400" w:lineRule="exact"/>
        <w:jc w:val="right"/>
        <w:rPr>
          <w:color w:val="000000"/>
          <w:szCs w:val="21"/>
        </w:rPr>
      </w:pPr>
    </w:p>
    <w:p>
      <w:pPr>
        <w:pStyle w:val="98"/>
        <w:spacing w:line="400" w:lineRule="exact"/>
        <w:jc w:val="right"/>
        <w:rPr>
          <w:color w:val="000000"/>
          <w:szCs w:val="21"/>
        </w:rPr>
      </w:pPr>
    </w:p>
    <w:p>
      <w:pPr>
        <w:pStyle w:val="98"/>
        <w:spacing w:line="400" w:lineRule="exact"/>
        <w:ind w:firstLine="1575" w:firstLineChars="750"/>
        <w:jc w:val="right"/>
        <w:rPr>
          <w:rFonts w:eastAsia="黑体"/>
          <w:color w:val="000000"/>
          <w:szCs w:val="21"/>
        </w:rPr>
      </w:pPr>
      <w:r>
        <w:rPr>
          <w:color w:val="000000"/>
          <w:szCs w:val="21"/>
          <w:u w:val="single"/>
        </w:rPr>
        <w:t xml:space="preserve">       </w:t>
      </w:r>
      <w:r>
        <w:rPr>
          <w:rFonts w:hint="eastAsia"/>
          <w:color w:val="000000"/>
          <w:szCs w:val="21"/>
        </w:rPr>
        <w:t>年</w:t>
      </w:r>
      <w:r>
        <w:rPr>
          <w:color w:val="000000"/>
          <w:szCs w:val="21"/>
        </w:rPr>
        <w:t xml:space="preserve"> </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99"/>
        <w:outlineLvl w:val="1"/>
      </w:pPr>
      <w:r>
        <w:br w:type="page"/>
      </w:r>
      <w:bookmarkStart w:id="1144" w:name="_Toc256000090"/>
      <w:r>
        <w:rPr>
          <w:rFonts w:ascii="黑体" w:hAnsi="黑体" w:eastAsia="黑体" w:cs="黑体"/>
          <w:b/>
          <w:sz w:val="32"/>
        </w:rPr>
        <w:t>三、投标保证金</w:t>
      </w:r>
      <w:bookmarkEnd w:id="1144"/>
    </w:p>
    <w:p>
      <w:pPr>
        <w:pStyle w:val="100"/>
        <w:jc w:val="center"/>
        <w:rPr>
          <w:rFonts w:ascii="黑体" w:hAnsi="黑体" w:eastAsia="黑体"/>
          <w:b/>
          <w:sz w:val="30"/>
          <w:szCs w:val="30"/>
        </w:rPr>
      </w:pPr>
      <w:r>
        <w:rPr>
          <w:rFonts w:hint="eastAsia" w:ascii="黑体" w:hAnsi="黑体" w:eastAsia="黑体"/>
          <w:b/>
          <w:sz w:val="30"/>
          <w:szCs w:val="30"/>
        </w:rPr>
        <w:t>投标保证金</w:t>
      </w:r>
    </w:p>
    <w:p>
      <w:pPr>
        <w:pStyle w:val="100"/>
        <w:spacing w:line="400" w:lineRule="exact"/>
        <w:jc w:val="left"/>
        <w:rPr>
          <w:rFonts w:ascii="宋体" w:hAnsi="宋体"/>
          <w:color w:val="000000"/>
          <w:szCs w:val="21"/>
          <w:u w:val="single"/>
        </w:rPr>
      </w:pPr>
    </w:p>
    <w:p>
      <w:pPr>
        <w:pStyle w:val="100"/>
        <w:spacing w:line="400" w:lineRule="exact"/>
        <w:jc w:val="lef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rPr>
        <w:t>（招标人名称）：</w:t>
      </w:r>
    </w:p>
    <w:p>
      <w:pPr>
        <w:pStyle w:val="100"/>
        <w:spacing w:line="400" w:lineRule="exact"/>
        <w:jc w:val="left"/>
        <w:rPr>
          <w:rFonts w:ascii="宋体" w:hAnsi="宋体"/>
          <w:color w:val="000000"/>
          <w:szCs w:val="21"/>
        </w:rPr>
      </w:pPr>
    </w:p>
    <w:p>
      <w:pPr>
        <w:pStyle w:val="100"/>
        <w:spacing w:line="400" w:lineRule="exact"/>
        <w:ind w:firstLine="420" w:firstLineChars="200"/>
        <w:jc w:val="left"/>
        <w:rPr>
          <w:rFonts w:ascii="宋体" w:hAnsi="宋体"/>
          <w:color w:val="000000"/>
          <w:szCs w:val="21"/>
        </w:rPr>
      </w:pPr>
      <w:r>
        <w:rPr>
          <w:rFonts w:hint="eastAsia" w:ascii="宋体" w:hAnsi="宋体"/>
          <w:color w:val="000000"/>
          <w:szCs w:val="21"/>
        </w:rPr>
        <w:t>鉴于</w:t>
      </w:r>
      <w:r>
        <w:rPr>
          <w:rFonts w:hint="eastAsia" w:ascii="宋体" w:hAnsi="宋体"/>
          <w:color w:val="000000"/>
          <w:szCs w:val="21"/>
          <w:u w:val="single"/>
        </w:rPr>
        <w:t xml:space="preserve">       </w:t>
      </w:r>
      <w:r>
        <w:rPr>
          <w:rFonts w:hint="eastAsia" w:ascii="宋体" w:hAnsi="宋体"/>
          <w:color w:val="000000"/>
          <w:szCs w:val="21"/>
        </w:rPr>
        <w:t>（投标人名称，以下称“投标人”）于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日参加</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（标段名称）的投标，</w:t>
      </w:r>
      <w:r>
        <w:rPr>
          <w:rFonts w:hint="eastAsia" w:ascii="宋体" w:hAnsi="宋体"/>
          <w:color w:val="000000"/>
          <w:szCs w:val="21"/>
          <w:u w:val="single"/>
        </w:rPr>
        <w:t xml:space="preserve">        </w:t>
      </w:r>
      <w:r>
        <w:rPr>
          <w:rFonts w:hint="eastAsia" w:ascii="宋体" w:hAnsi="宋体"/>
          <w:color w:val="000000"/>
          <w:szCs w:val="21"/>
        </w:rPr>
        <w:t>（担保人名称，以下简称“我方”）无条件地、不可撤销地保证：投标人在规定的投标文件有效期内补充、修改、替代或撤回其投标文件的，或者投标人在收到中标通知书后无正当理由拒签合同或拒交规定履约担保的，我方承担保证责任。收到你方书面通知后，在7日内无条件向你方支付人民币（大写）</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szCs w:val="21"/>
          <w:u w:val="single"/>
        </w:rPr>
        <w:t xml:space="preserve">           </w:t>
      </w:r>
      <w:r>
        <w:rPr>
          <w:rFonts w:hint="eastAsia" w:ascii="宋体" w:hAnsi="宋体"/>
          <w:color w:val="000000"/>
          <w:szCs w:val="21"/>
        </w:rPr>
        <w:t>）</w:t>
      </w:r>
    </w:p>
    <w:p>
      <w:pPr>
        <w:pStyle w:val="100"/>
        <w:spacing w:line="400" w:lineRule="exact"/>
        <w:ind w:firstLine="420" w:firstLineChars="200"/>
        <w:jc w:val="left"/>
        <w:rPr>
          <w:rFonts w:ascii="宋体" w:hAnsi="宋体"/>
          <w:color w:val="000000"/>
          <w:szCs w:val="21"/>
        </w:rPr>
      </w:pPr>
      <w:r>
        <w:rPr>
          <w:rFonts w:hint="eastAsia" w:ascii="宋体" w:hAnsi="宋体"/>
          <w:color w:val="000000"/>
          <w:szCs w:val="21"/>
        </w:rPr>
        <w:t>本担保在投标有效期内保持有效。要求我方承担保证责任的书面通知应在投标有效期内送达我方。</w:t>
      </w:r>
    </w:p>
    <w:p>
      <w:pPr>
        <w:pStyle w:val="100"/>
        <w:spacing w:line="400" w:lineRule="exact"/>
        <w:jc w:val="left"/>
        <w:rPr>
          <w:rFonts w:ascii="宋体" w:hAnsi="宋体"/>
          <w:color w:val="000000"/>
          <w:szCs w:val="21"/>
        </w:rPr>
      </w:pPr>
      <w:r>
        <w:rPr>
          <w:rFonts w:hint="eastAsia" w:ascii="宋体" w:hAnsi="宋体"/>
          <w:color w:val="000000"/>
          <w:szCs w:val="21"/>
        </w:rPr>
        <w:t xml:space="preserve"> </w:t>
      </w:r>
    </w:p>
    <w:p>
      <w:pPr>
        <w:pStyle w:val="100"/>
        <w:spacing w:line="400" w:lineRule="exact"/>
        <w:jc w:val="left"/>
        <w:rPr>
          <w:rFonts w:ascii="宋体" w:hAnsi="宋体"/>
          <w:color w:val="000000"/>
          <w:szCs w:val="21"/>
        </w:rPr>
      </w:pPr>
    </w:p>
    <w:p>
      <w:pPr>
        <w:pStyle w:val="100"/>
        <w:spacing w:line="400" w:lineRule="exact"/>
        <w:jc w:val="left"/>
        <w:rPr>
          <w:rFonts w:ascii="宋体" w:hAnsi="宋体"/>
          <w:color w:val="000000"/>
          <w:szCs w:val="21"/>
        </w:rPr>
      </w:pPr>
    </w:p>
    <w:p>
      <w:pPr>
        <w:pStyle w:val="100"/>
        <w:spacing w:line="400" w:lineRule="exact"/>
        <w:jc w:val="left"/>
        <w:rPr>
          <w:rFonts w:ascii="宋体" w:hAnsi="宋体"/>
          <w:color w:val="000000"/>
          <w:szCs w:val="21"/>
        </w:rPr>
      </w:pPr>
    </w:p>
    <w:p>
      <w:pPr>
        <w:pStyle w:val="100"/>
        <w:spacing w:line="400" w:lineRule="exact"/>
        <w:ind w:firstLine="2158" w:firstLineChars="1028"/>
        <w:jc w:val="left"/>
        <w:rPr>
          <w:rFonts w:ascii="宋体" w:hAnsi="宋体"/>
          <w:color w:val="000000"/>
          <w:szCs w:val="21"/>
        </w:rPr>
      </w:pPr>
      <w:r>
        <w:rPr>
          <w:rFonts w:hint="eastAsia" w:ascii="宋体" w:hAnsi="宋体"/>
          <w:color w:val="000000"/>
          <w:szCs w:val="21"/>
        </w:rPr>
        <w:t>担保人：</w:t>
      </w:r>
      <w:r>
        <w:rPr>
          <w:rFonts w:hint="eastAsia" w:ascii="宋体" w:hAnsi="宋体"/>
          <w:color w:val="000000"/>
          <w:szCs w:val="21"/>
          <w:u w:val="single"/>
        </w:rPr>
        <w:t xml:space="preserve">                              </w:t>
      </w:r>
      <w:r>
        <w:rPr>
          <w:rFonts w:hint="eastAsia" w:ascii="宋体" w:hAnsi="宋体"/>
          <w:color w:val="000000"/>
          <w:szCs w:val="21"/>
        </w:rPr>
        <w:t>（盖单位章）</w:t>
      </w:r>
    </w:p>
    <w:p>
      <w:pPr>
        <w:pStyle w:val="100"/>
        <w:spacing w:line="400" w:lineRule="exact"/>
        <w:ind w:firstLine="2158" w:firstLineChars="1028"/>
        <w:jc w:val="left"/>
        <w:rPr>
          <w:rFonts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rPr>
        <w:t>（签字）</w:t>
      </w:r>
    </w:p>
    <w:p>
      <w:pPr>
        <w:pStyle w:val="100"/>
        <w:spacing w:line="400" w:lineRule="exact"/>
        <w:ind w:firstLine="2158" w:firstLineChars="1028"/>
        <w:jc w:val="left"/>
        <w:rPr>
          <w:rFonts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p>
    <w:p>
      <w:pPr>
        <w:pStyle w:val="100"/>
        <w:spacing w:line="400" w:lineRule="exact"/>
        <w:ind w:firstLine="2158" w:firstLineChars="1028"/>
        <w:jc w:val="left"/>
        <w:rPr>
          <w:rFonts w:ascii="宋体" w:hAnsi="宋体"/>
          <w:color w:val="000000"/>
          <w:szCs w:val="21"/>
          <w:u w:val="single"/>
        </w:rPr>
      </w:pPr>
      <w:r>
        <w:rPr>
          <w:rFonts w:hint="eastAsia" w:ascii="宋体" w:hAnsi="宋体"/>
          <w:color w:val="000000"/>
          <w:szCs w:val="21"/>
        </w:rPr>
        <w:t>邮政编码：</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p>
    <w:p>
      <w:pPr>
        <w:pStyle w:val="100"/>
        <w:spacing w:line="400" w:lineRule="exact"/>
        <w:ind w:firstLine="2158" w:firstLineChars="1028"/>
        <w:jc w:val="left"/>
        <w:rPr>
          <w:rFonts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p>
    <w:p>
      <w:pPr>
        <w:pStyle w:val="100"/>
        <w:spacing w:line="400" w:lineRule="exact"/>
        <w:ind w:firstLine="3313" w:firstLineChars="1578"/>
        <w:jc w:val="lef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100"/>
        <w:spacing w:line="400" w:lineRule="exact"/>
        <w:jc w:val="left"/>
        <w:rPr>
          <w:rFonts w:ascii="宋体" w:hAnsi="宋体"/>
          <w:color w:val="000000"/>
          <w:szCs w:val="21"/>
        </w:rPr>
      </w:pPr>
    </w:p>
    <w:p>
      <w:pPr>
        <w:pStyle w:val="100"/>
        <w:spacing w:line="400" w:lineRule="exact"/>
        <w:jc w:val="left"/>
        <w:rPr>
          <w:rFonts w:ascii="宋体" w:hAnsi="宋体"/>
          <w:color w:val="000000"/>
          <w:szCs w:val="21"/>
        </w:rPr>
      </w:pPr>
    </w:p>
    <w:p>
      <w:pPr>
        <w:pStyle w:val="100"/>
        <w:spacing w:line="400" w:lineRule="exact"/>
        <w:jc w:val="left"/>
        <w:rPr>
          <w:rFonts w:ascii="宋体" w:hAnsi="宋体"/>
          <w:color w:val="000000"/>
          <w:szCs w:val="21"/>
        </w:rPr>
      </w:pPr>
      <w:r>
        <w:rPr>
          <w:rFonts w:hint="eastAsia" w:ascii="宋体" w:hAnsi="宋体"/>
          <w:color w:val="000000"/>
          <w:szCs w:val="21"/>
        </w:rPr>
        <w:t>注1：投标保证金采取电汇、保函的，附上述票据的复印件；采取担保的，应采用上述格式。</w:t>
      </w:r>
    </w:p>
    <w:p>
      <w:pPr>
        <w:pStyle w:val="100"/>
      </w:pPr>
      <w:r>
        <w:rPr>
          <w:rFonts w:hint="eastAsia" w:ascii="宋体" w:hAnsi="宋体"/>
          <w:color w:val="000000"/>
          <w:szCs w:val="21"/>
        </w:rPr>
        <w:t>注2：委托代理人应附授权委托书。</w:t>
      </w:r>
    </w:p>
    <w:p>
      <w:pPr>
        <w:pStyle w:val="101"/>
        <w:outlineLvl w:val="1"/>
      </w:pPr>
      <w:r>
        <w:br w:type="page"/>
      </w:r>
      <w:bookmarkStart w:id="1145" w:name="_Toc256000091"/>
      <w:r>
        <w:rPr>
          <w:rFonts w:ascii="黑体" w:hAnsi="黑体" w:eastAsia="黑体" w:cs="黑体"/>
          <w:b/>
          <w:sz w:val="32"/>
        </w:rPr>
        <w:t>四、已标价工程量清单</w:t>
      </w:r>
      <w:bookmarkEnd w:id="1145"/>
    </w:p>
    <w:p>
      <w:pPr>
        <w:pStyle w:val="102"/>
      </w:pPr>
    </w:p>
    <w:p>
      <w:pPr>
        <w:pStyle w:val="103"/>
        <w:outlineLvl w:val="1"/>
      </w:pPr>
      <w:r>
        <w:br w:type="page"/>
      </w:r>
      <w:bookmarkStart w:id="1146" w:name="_Toc256000092"/>
      <w:r>
        <w:rPr>
          <w:rFonts w:ascii="黑体" w:hAnsi="黑体" w:eastAsia="黑体" w:cs="黑体"/>
          <w:b/>
          <w:sz w:val="32"/>
        </w:rPr>
        <w:t>五、施工组织设计</w:t>
      </w:r>
      <w:bookmarkEnd w:id="1146"/>
    </w:p>
    <w:p>
      <w:pPr>
        <w:pStyle w:val="104"/>
        <w:jc w:val="center"/>
        <w:rPr>
          <w:rFonts w:ascii="黑体" w:hAnsi="黑体" w:eastAsia="黑体"/>
          <w:b/>
          <w:sz w:val="30"/>
          <w:szCs w:val="30"/>
        </w:rPr>
      </w:pPr>
      <w:r>
        <w:rPr>
          <w:rFonts w:hint="eastAsia" w:ascii="黑体" w:hAnsi="黑体" w:eastAsia="黑体"/>
          <w:b/>
          <w:sz w:val="30"/>
          <w:szCs w:val="30"/>
        </w:rPr>
        <w:t>施工组织设计</w:t>
      </w:r>
    </w:p>
    <w:p>
      <w:pPr>
        <w:pStyle w:val="104"/>
        <w:spacing w:line="400" w:lineRule="exact"/>
        <w:rPr>
          <w:rFonts w:ascii="Times New Roman" w:hAnsi="Times New Roman" w:eastAsia="黑体"/>
          <w:color w:val="000000"/>
          <w:sz w:val="20"/>
          <w:szCs w:val="20"/>
        </w:rPr>
      </w:pPr>
    </w:p>
    <w:p>
      <w:pPr>
        <w:pStyle w:val="104"/>
        <w:spacing w:line="400" w:lineRule="exact"/>
        <w:ind w:firstLine="525" w:firstLineChars="250"/>
        <w:rPr>
          <w:rFonts w:ascii="宋体" w:hAnsi="宋体"/>
          <w:color w:val="000000"/>
          <w:szCs w:val="21"/>
        </w:rPr>
      </w:pPr>
      <w:r>
        <w:rPr>
          <w:rFonts w:hint="eastAsia" w:ascii="宋体" w:hAnsi="宋体"/>
          <w:color w:val="000000"/>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pStyle w:val="104"/>
        <w:spacing w:line="400" w:lineRule="exact"/>
        <w:ind w:firstLine="315" w:firstLineChars="150"/>
        <w:rPr>
          <w:rFonts w:ascii="宋体" w:hAnsi="宋体"/>
          <w:color w:val="000000"/>
          <w:szCs w:val="21"/>
        </w:rPr>
      </w:pPr>
      <w:r>
        <w:rPr>
          <w:rFonts w:hint="eastAsia" w:ascii="宋体" w:hAnsi="宋体"/>
          <w:color w:val="000000"/>
          <w:szCs w:val="21"/>
        </w:rPr>
        <w:t>施工组织设计应附的文字说明及配图见下表（不限于,仅供参考）：</w:t>
      </w:r>
    </w:p>
    <w:tbl>
      <w:tblPr>
        <w:tblStyle w:val="3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600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b/>
                <w:color w:val="000000"/>
                <w:szCs w:val="21"/>
              </w:rPr>
            </w:pPr>
            <w:r>
              <w:rPr>
                <w:rFonts w:hint="eastAsia" w:ascii="宋体" w:hAnsi="宋体"/>
                <w:b/>
                <w:color w:val="000000"/>
                <w:szCs w:val="21"/>
              </w:rPr>
              <w:t>序号</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b/>
                <w:color w:val="000000"/>
                <w:szCs w:val="21"/>
              </w:rPr>
            </w:pPr>
            <w:r>
              <w:rPr>
                <w:rFonts w:hint="eastAsia" w:ascii="宋体" w:hAnsi="宋体"/>
                <w:b/>
                <w:color w:val="000000"/>
                <w:szCs w:val="21"/>
              </w:rPr>
              <w:t>名           称</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施工围堰设计说明书及附图（包括加高、维护、拆除）</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2</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施工排水设计说明书及附图（包括降水方案、场地排水等）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3</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材料采购（黄砂、碎石、块石的产地、矿名等均应明示，钢材、水泥的生产厂家，转运方案：卸料、短驳、运输、道路维护等）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4</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土方工程施工说明书及附图（施工工艺及质量保证措施和有关试验要求，施工进度工期计划等）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5</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基坑支护、地基加固工程施工说明书及附图（施工工艺及质量保证措施和有关试验要求，施工进度工期计划等）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6</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主体建筑物工程施工说明书及附图（施工工艺及质量保证措施和有关试验要求，施工进度工期计划等）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7</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金属结构制造和安装计划、措施及附图</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8</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机电设备安装、调试方案、施工进度计划说明书</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9</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建筑与装修工程施工说明书（施工工艺及质量保证措施，施工进度工期计划等）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10</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工程质量管理方案</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11</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安全生产管理方案</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12</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防汛度汛</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13</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文明工地建设措施，为其他承包人提供方便的措施等</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14</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水土保持、环境保护管理方案</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15</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其他有关工程的施工工艺及进度计划</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r>
              <w:rPr>
                <w:rFonts w:hint="eastAsia" w:ascii="宋体" w:hAnsi="宋体"/>
                <w:color w:val="000000"/>
                <w:szCs w:val="21"/>
              </w:rPr>
              <w:t>16</w:t>
            </w:r>
          </w:p>
        </w:tc>
        <w:tc>
          <w:tcPr>
            <w:tcW w:w="6008"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rPr>
                <w:rFonts w:ascii="宋体" w:hAnsi="宋体"/>
                <w:color w:val="000000"/>
                <w:szCs w:val="21"/>
              </w:rPr>
            </w:pPr>
            <w:r>
              <w:rPr>
                <w:rFonts w:hint="eastAsia" w:ascii="宋体" w:hAnsi="宋体"/>
                <w:color w:val="000000"/>
                <w:szCs w:val="21"/>
              </w:rPr>
              <w:t>有关施工建议</w:t>
            </w:r>
          </w:p>
        </w:tc>
        <w:tc>
          <w:tcPr>
            <w:tcW w:w="1630" w:type="dxa"/>
            <w:tcBorders>
              <w:top w:val="single" w:color="auto" w:sz="4" w:space="0"/>
              <w:left w:val="single" w:color="auto" w:sz="4" w:space="0"/>
              <w:bottom w:val="single" w:color="auto" w:sz="4" w:space="0"/>
              <w:right w:val="single" w:color="auto" w:sz="4" w:space="0"/>
            </w:tcBorders>
            <w:vAlign w:val="center"/>
          </w:tcPr>
          <w:p>
            <w:pPr>
              <w:pStyle w:val="104"/>
              <w:spacing w:line="400" w:lineRule="exact"/>
              <w:jc w:val="center"/>
              <w:rPr>
                <w:rFonts w:ascii="宋体" w:hAnsi="宋体"/>
                <w:color w:val="000000"/>
                <w:szCs w:val="21"/>
              </w:rPr>
            </w:pPr>
          </w:p>
        </w:tc>
      </w:tr>
    </w:tbl>
    <w:p>
      <w:pPr>
        <w:pStyle w:val="104"/>
        <w:tabs>
          <w:tab w:val="left" w:pos="720"/>
        </w:tabs>
        <w:spacing w:line="400" w:lineRule="exact"/>
        <w:ind w:firstLine="420" w:firstLineChars="200"/>
        <w:rPr>
          <w:rFonts w:ascii="宋体" w:hAnsi="宋体"/>
          <w:color w:val="000000"/>
          <w:szCs w:val="21"/>
        </w:rPr>
      </w:pPr>
      <w:r>
        <w:rPr>
          <w:rFonts w:hint="eastAsia" w:ascii="宋体" w:hAnsi="宋体"/>
          <w:color w:val="000000"/>
          <w:szCs w:val="21"/>
        </w:rPr>
        <w:t>2.施工组织设计除采用文字表述外应附下列图表,图表及格式要求附后。</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附表一  拟投入本标段的主要施工设备表</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附表二  拟投入本标段的实验和检测仪器设备表</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附表三  拟投入本标段的劳动力计划表</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附表四  计划开工日期、完工日期和施工进度网络图</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附表五  施工总平面图</w:t>
      </w:r>
    </w:p>
    <w:p>
      <w:pPr>
        <w:pStyle w:val="104"/>
        <w:tabs>
          <w:tab w:val="left" w:pos="720"/>
        </w:tabs>
        <w:spacing w:line="400" w:lineRule="exact"/>
        <w:ind w:firstLine="756" w:firstLineChars="360"/>
        <w:rPr>
          <w:rFonts w:ascii="宋体" w:hAnsi="宋体"/>
          <w:color w:val="000000"/>
          <w:szCs w:val="21"/>
        </w:rPr>
      </w:pPr>
      <w:r>
        <w:rPr>
          <w:rFonts w:hint="eastAsia" w:ascii="宋体" w:hAnsi="宋体"/>
          <w:color w:val="000000"/>
          <w:szCs w:val="21"/>
        </w:rPr>
        <w:t>附表六  临时用地表</w:t>
      </w:r>
    </w:p>
    <w:p>
      <w:pPr>
        <w:pStyle w:val="104"/>
        <w:spacing w:line="400" w:lineRule="exact"/>
        <w:rPr>
          <w:rFonts w:ascii="Times New Roman" w:hAnsi="Times New Roman"/>
          <w:color w:val="000000"/>
          <w:sz w:val="19"/>
          <w:szCs w:val="19"/>
        </w:rPr>
      </w:pPr>
      <w:r>
        <w:rPr>
          <w:rFonts w:eastAsia="黑体"/>
          <w:color w:val="000000"/>
          <w:sz w:val="19"/>
          <w:szCs w:val="19"/>
        </w:rPr>
        <w:br w:type="page"/>
      </w:r>
    </w:p>
    <w:p>
      <w:pPr>
        <w:pStyle w:val="105"/>
        <w:rPr>
          <w:color w:val="000000"/>
        </w:rPr>
      </w:pPr>
      <w:bookmarkStart w:id="1147" w:name="_Toc256000093"/>
      <w:r>
        <w:rPr>
          <w:rFonts w:hint="eastAsia"/>
          <w:color w:val="000000"/>
        </w:rPr>
        <w:t>附表一：拟投入本标段的主要施工设备表</w:t>
      </w:r>
      <w:bookmarkEnd w:id="1147"/>
    </w:p>
    <w:p>
      <w:pPr>
        <w:pStyle w:val="104"/>
        <w:spacing w:line="400" w:lineRule="exact"/>
        <w:rPr>
          <w:color w:val="000000"/>
          <w:sz w:val="19"/>
          <w:szCs w:val="19"/>
        </w:rPr>
      </w:pPr>
    </w:p>
    <w:tbl>
      <w:tblPr>
        <w:tblStyle w:val="36"/>
        <w:tblW w:w="51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序号</w:t>
            </w: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设备名称</w:t>
            </w: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型号</w:t>
            </w:r>
          </w:p>
          <w:p>
            <w:pPr>
              <w:pStyle w:val="104"/>
              <w:spacing w:line="400" w:lineRule="exact"/>
              <w:jc w:val="center"/>
              <w:rPr>
                <w:rFonts w:ascii="宋体" w:hAnsi="宋体"/>
                <w:color w:val="000000"/>
                <w:szCs w:val="21"/>
              </w:rPr>
            </w:pPr>
            <w:r>
              <w:rPr>
                <w:rFonts w:hint="eastAsia" w:ascii="宋体" w:hAnsi="宋体"/>
                <w:color w:val="000000"/>
                <w:szCs w:val="21"/>
              </w:rPr>
              <w:t>规格</w:t>
            </w: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数量</w:t>
            </w: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国别</w:t>
            </w:r>
          </w:p>
          <w:p>
            <w:pPr>
              <w:pStyle w:val="104"/>
              <w:spacing w:line="400" w:lineRule="exact"/>
              <w:jc w:val="center"/>
              <w:rPr>
                <w:rFonts w:ascii="宋体" w:hAnsi="宋体"/>
                <w:color w:val="000000"/>
                <w:szCs w:val="21"/>
              </w:rPr>
            </w:pPr>
            <w:r>
              <w:rPr>
                <w:rFonts w:hint="eastAsia" w:ascii="宋体" w:hAnsi="宋体"/>
                <w:color w:val="000000"/>
                <w:szCs w:val="21"/>
              </w:rPr>
              <w:t>产地</w:t>
            </w: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制造</w:t>
            </w:r>
          </w:p>
          <w:p>
            <w:pPr>
              <w:pStyle w:val="104"/>
              <w:spacing w:line="400" w:lineRule="exact"/>
              <w:jc w:val="center"/>
              <w:rPr>
                <w:rFonts w:ascii="宋体" w:hAnsi="宋体"/>
                <w:color w:val="000000"/>
                <w:szCs w:val="21"/>
              </w:rPr>
            </w:pPr>
            <w:r>
              <w:rPr>
                <w:rFonts w:hint="eastAsia" w:ascii="宋体" w:hAnsi="宋体"/>
                <w:color w:val="000000"/>
                <w:szCs w:val="21"/>
              </w:rPr>
              <w:t>年份</w:t>
            </w: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额定功率（KW）</w:t>
            </w: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生产</w:t>
            </w:r>
          </w:p>
          <w:p>
            <w:pPr>
              <w:pStyle w:val="104"/>
              <w:spacing w:line="400" w:lineRule="exact"/>
              <w:jc w:val="center"/>
              <w:rPr>
                <w:rFonts w:ascii="宋体" w:hAnsi="宋体"/>
                <w:color w:val="000000"/>
                <w:szCs w:val="21"/>
              </w:rPr>
            </w:pPr>
            <w:r>
              <w:rPr>
                <w:rFonts w:hint="eastAsia" w:ascii="宋体" w:hAnsi="宋体"/>
                <w:color w:val="000000"/>
                <w:szCs w:val="21"/>
              </w:rPr>
              <w:t>能力</w:t>
            </w: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用于施工部位</w:t>
            </w: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1"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6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8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0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0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bl>
    <w:p>
      <w:pPr>
        <w:pStyle w:val="104"/>
        <w:spacing w:line="400" w:lineRule="exact"/>
        <w:rPr>
          <w:rFonts w:ascii="Times New Roman" w:hAnsi="Times New Roman" w:eastAsia="黑体"/>
          <w:color w:val="000000"/>
          <w:sz w:val="19"/>
          <w:szCs w:val="19"/>
        </w:rPr>
      </w:pPr>
    </w:p>
    <w:p>
      <w:pPr>
        <w:pStyle w:val="104"/>
        <w:spacing w:line="400" w:lineRule="exact"/>
        <w:rPr>
          <w:rFonts w:eastAsia="黑体"/>
          <w:color w:val="000000"/>
          <w:sz w:val="19"/>
          <w:szCs w:val="19"/>
        </w:rPr>
      </w:pPr>
      <w:r>
        <w:rPr>
          <w:rFonts w:eastAsia="黑体"/>
          <w:color w:val="000000"/>
          <w:sz w:val="19"/>
          <w:szCs w:val="19"/>
        </w:rPr>
        <w:br w:type="page"/>
      </w:r>
    </w:p>
    <w:p>
      <w:pPr>
        <w:pStyle w:val="105"/>
        <w:rPr>
          <w:color w:val="000000"/>
        </w:rPr>
      </w:pPr>
      <w:bookmarkStart w:id="1148" w:name="_Toc256000094"/>
      <w:r>
        <w:rPr>
          <w:rFonts w:hint="eastAsia"/>
          <w:color w:val="000000"/>
        </w:rPr>
        <w:t>附表二：拟投入本标段的试验和检测仪器设备表</w:t>
      </w:r>
      <w:bookmarkEnd w:id="1148"/>
    </w:p>
    <w:p>
      <w:pPr>
        <w:pStyle w:val="104"/>
        <w:spacing w:line="400" w:lineRule="exact"/>
        <w:rPr>
          <w:color w:val="000000"/>
          <w:sz w:val="19"/>
          <w:szCs w:val="19"/>
        </w:rPr>
      </w:pPr>
    </w:p>
    <w:tbl>
      <w:tblPr>
        <w:tblStyle w:val="36"/>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88"/>
        <w:gridCol w:w="876"/>
        <w:gridCol w:w="876"/>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序号</w:t>
            </w: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仪器设备名称</w:t>
            </w: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型号</w:t>
            </w:r>
          </w:p>
          <w:p>
            <w:pPr>
              <w:pStyle w:val="104"/>
              <w:spacing w:line="400" w:lineRule="exact"/>
              <w:jc w:val="center"/>
              <w:rPr>
                <w:rFonts w:ascii="宋体" w:hAnsi="宋体"/>
                <w:color w:val="000000"/>
                <w:szCs w:val="21"/>
              </w:rPr>
            </w:pPr>
            <w:r>
              <w:rPr>
                <w:rFonts w:hint="eastAsia" w:ascii="宋体" w:hAnsi="宋体"/>
                <w:color w:val="000000"/>
                <w:szCs w:val="21"/>
              </w:rPr>
              <w:t>规格</w:t>
            </w: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数量</w:t>
            </w: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国别</w:t>
            </w:r>
          </w:p>
          <w:p>
            <w:pPr>
              <w:pStyle w:val="104"/>
              <w:spacing w:line="400" w:lineRule="exact"/>
              <w:jc w:val="center"/>
              <w:rPr>
                <w:rFonts w:ascii="宋体" w:hAnsi="宋体"/>
                <w:color w:val="000000"/>
                <w:szCs w:val="21"/>
              </w:rPr>
            </w:pPr>
            <w:r>
              <w:rPr>
                <w:rFonts w:hint="eastAsia" w:ascii="宋体" w:hAnsi="宋体"/>
                <w:color w:val="000000"/>
                <w:szCs w:val="21"/>
              </w:rPr>
              <w:t>产地</w:t>
            </w: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制造</w:t>
            </w:r>
          </w:p>
          <w:p>
            <w:pPr>
              <w:pStyle w:val="104"/>
              <w:spacing w:line="400" w:lineRule="exact"/>
              <w:jc w:val="center"/>
              <w:rPr>
                <w:rFonts w:ascii="宋体" w:hAnsi="宋体"/>
                <w:color w:val="000000"/>
                <w:szCs w:val="21"/>
              </w:rPr>
            </w:pPr>
            <w:r>
              <w:rPr>
                <w:rFonts w:hint="eastAsia" w:ascii="宋体" w:hAnsi="宋体"/>
                <w:color w:val="000000"/>
                <w:szCs w:val="21"/>
              </w:rPr>
              <w:t>年份</w:t>
            </w: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已使用台时数</w:t>
            </w: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用途</w:t>
            </w: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42"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51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397"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3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1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97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40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bl>
    <w:p>
      <w:pPr>
        <w:pStyle w:val="104"/>
        <w:spacing w:line="400" w:lineRule="exact"/>
        <w:rPr>
          <w:rFonts w:ascii="Times New Roman" w:hAnsi="Times New Roman" w:eastAsia="黑体"/>
          <w:color w:val="000000"/>
          <w:sz w:val="19"/>
          <w:szCs w:val="19"/>
        </w:rPr>
      </w:pPr>
      <w:r>
        <w:rPr>
          <w:rFonts w:eastAsia="黑体"/>
          <w:color w:val="000000"/>
          <w:sz w:val="19"/>
          <w:szCs w:val="19"/>
        </w:rPr>
        <w:br w:type="page"/>
      </w:r>
    </w:p>
    <w:p>
      <w:pPr>
        <w:pStyle w:val="105"/>
        <w:rPr>
          <w:color w:val="000000"/>
        </w:rPr>
      </w:pPr>
      <w:bookmarkStart w:id="1149" w:name="_Toc256000095"/>
      <w:r>
        <w:rPr>
          <w:rFonts w:hint="eastAsia"/>
          <w:color w:val="000000"/>
        </w:rPr>
        <w:t>附表三：拟投入本标段的劳动力计划表</w:t>
      </w:r>
      <w:bookmarkEnd w:id="1149"/>
    </w:p>
    <w:p>
      <w:pPr>
        <w:pStyle w:val="104"/>
        <w:spacing w:line="400" w:lineRule="exact"/>
        <w:ind w:right="200"/>
        <w:jc w:val="right"/>
        <w:rPr>
          <w:rFonts w:ascii="宋体" w:hAnsi="宋体"/>
          <w:color w:val="000000"/>
          <w:szCs w:val="21"/>
        </w:rPr>
      </w:pPr>
      <w:r>
        <w:rPr>
          <w:rFonts w:hint="eastAsia" w:ascii="宋体" w:hAnsi="宋体"/>
          <w:color w:val="000000"/>
          <w:szCs w:val="21"/>
        </w:rPr>
        <w:t>单位：人</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305"/>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工种</w:t>
            </w:r>
          </w:p>
        </w:tc>
        <w:tc>
          <w:tcPr>
            <w:tcW w:w="4514" w:type="pct"/>
            <w:gridSpan w:val="7"/>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76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5"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624"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bl>
    <w:p>
      <w:pPr>
        <w:pStyle w:val="104"/>
        <w:spacing w:line="400" w:lineRule="exact"/>
        <w:rPr>
          <w:rFonts w:ascii="Times New Roman" w:hAnsi="Times New Roman" w:eastAsia="黑体"/>
          <w:color w:val="000000"/>
          <w:sz w:val="19"/>
          <w:szCs w:val="19"/>
        </w:rPr>
      </w:pPr>
    </w:p>
    <w:p>
      <w:pPr>
        <w:pStyle w:val="104"/>
        <w:spacing w:line="400" w:lineRule="exact"/>
        <w:rPr>
          <w:rFonts w:eastAsia="黑体"/>
          <w:color w:val="000000"/>
          <w:sz w:val="19"/>
          <w:szCs w:val="19"/>
        </w:rPr>
      </w:pPr>
    </w:p>
    <w:p>
      <w:pPr>
        <w:pStyle w:val="104"/>
        <w:topLinePunct/>
        <w:spacing w:line="400" w:lineRule="exact"/>
        <w:jc w:val="center"/>
        <w:rPr>
          <w:color w:val="000000"/>
          <w:sz w:val="20"/>
          <w:szCs w:val="20"/>
        </w:rPr>
      </w:pPr>
    </w:p>
    <w:p>
      <w:pPr>
        <w:pStyle w:val="104"/>
        <w:topLinePunct/>
        <w:spacing w:line="400" w:lineRule="exact"/>
        <w:jc w:val="center"/>
        <w:rPr>
          <w:color w:val="000000"/>
          <w:sz w:val="20"/>
          <w:szCs w:val="20"/>
        </w:rPr>
      </w:pPr>
    </w:p>
    <w:p>
      <w:pPr>
        <w:pStyle w:val="104"/>
        <w:topLinePunct/>
        <w:spacing w:line="400" w:lineRule="exact"/>
        <w:jc w:val="center"/>
        <w:rPr>
          <w:color w:val="000000"/>
          <w:sz w:val="20"/>
          <w:szCs w:val="20"/>
        </w:rPr>
      </w:pPr>
    </w:p>
    <w:p>
      <w:pPr>
        <w:pStyle w:val="105"/>
        <w:rPr>
          <w:color w:val="000000"/>
        </w:rPr>
      </w:pPr>
      <w:bookmarkStart w:id="1150" w:name="_Toc256000096"/>
      <w:r>
        <w:rPr>
          <w:rFonts w:hint="eastAsia"/>
          <w:color w:val="000000"/>
        </w:rPr>
        <w:t>附表四：计划开工日期、完工日期和施工进度网络图</w:t>
      </w:r>
      <w:bookmarkEnd w:id="1150"/>
    </w:p>
    <w:p>
      <w:pPr>
        <w:pStyle w:val="104"/>
        <w:spacing w:line="400" w:lineRule="exact"/>
        <w:rPr>
          <w:rFonts w:eastAsia="黑体"/>
          <w:color w:val="000000"/>
          <w:sz w:val="19"/>
          <w:szCs w:val="19"/>
        </w:rPr>
      </w:pPr>
    </w:p>
    <w:p>
      <w:pPr>
        <w:pStyle w:val="104"/>
        <w:spacing w:line="400" w:lineRule="exact"/>
        <w:ind w:firstLine="420" w:firstLineChars="200"/>
        <w:rPr>
          <w:rFonts w:ascii="宋体" w:hAnsi="宋体"/>
          <w:color w:val="000000"/>
          <w:szCs w:val="21"/>
        </w:rPr>
      </w:pPr>
      <w:r>
        <w:rPr>
          <w:rFonts w:hint="eastAsia" w:ascii="宋体" w:hAnsi="宋体"/>
          <w:color w:val="000000"/>
          <w:szCs w:val="21"/>
        </w:rPr>
        <w:t>1. 投标人应递交施工进度网络图或施工进度表，说明按招标文件要求的计划工期进行施工的各个关键日期。</w:t>
      </w:r>
    </w:p>
    <w:p>
      <w:pPr>
        <w:pStyle w:val="104"/>
        <w:spacing w:line="400" w:lineRule="exact"/>
        <w:ind w:firstLine="420" w:firstLineChars="200"/>
        <w:rPr>
          <w:rFonts w:ascii="宋体" w:hAnsi="宋体"/>
          <w:color w:val="000000"/>
          <w:szCs w:val="21"/>
        </w:rPr>
      </w:pPr>
      <w:r>
        <w:rPr>
          <w:rFonts w:hint="eastAsia" w:ascii="宋体" w:hAnsi="宋体"/>
          <w:color w:val="000000"/>
          <w:szCs w:val="21"/>
        </w:rPr>
        <w:t>2. 施工进度表可采用</w:t>
      </w:r>
      <w:r>
        <w:rPr>
          <w:rFonts w:hint="eastAsia" w:ascii="宋体" w:hAnsi="宋体"/>
          <w:color w:val="000000"/>
          <w:szCs w:val="21"/>
          <w:u w:val="single"/>
        </w:rPr>
        <w:t xml:space="preserve">                 </w:t>
      </w:r>
      <w:r>
        <w:rPr>
          <w:rFonts w:hint="eastAsia" w:ascii="宋体" w:hAnsi="宋体"/>
          <w:color w:val="000000"/>
          <w:szCs w:val="21"/>
        </w:rPr>
        <w:t>网络图（或横道图）表示。</w:t>
      </w:r>
    </w:p>
    <w:p>
      <w:pPr>
        <w:pStyle w:val="104"/>
        <w:spacing w:line="400" w:lineRule="exact"/>
        <w:rPr>
          <w:rFonts w:ascii="Times New Roman" w:hAnsi="Times New Roman"/>
          <w:color w:val="000000"/>
          <w:sz w:val="19"/>
          <w:szCs w:val="19"/>
        </w:rPr>
      </w:pPr>
    </w:p>
    <w:p>
      <w:pPr>
        <w:pStyle w:val="104"/>
        <w:spacing w:line="400" w:lineRule="exact"/>
        <w:rPr>
          <w:rFonts w:eastAsia="黑体"/>
          <w:color w:val="000000"/>
          <w:sz w:val="19"/>
          <w:szCs w:val="19"/>
        </w:rPr>
      </w:pPr>
    </w:p>
    <w:p>
      <w:pPr>
        <w:pStyle w:val="104"/>
        <w:spacing w:line="400" w:lineRule="exact"/>
        <w:rPr>
          <w:rFonts w:eastAsia="黑体"/>
          <w:color w:val="000000"/>
          <w:sz w:val="19"/>
          <w:szCs w:val="19"/>
        </w:rPr>
      </w:pPr>
      <w:r>
        <w:rPr>
          <w:rFonts w:eastAsia="黑体"/>
          <w:color w:val="000000"/>
          <w:sz w:val="19"/>
          <w:szCs w:val="19"/>
        </w:rPr>
        <w:br w:type="page"/>
      </w:r>
    </w:p>
    <w:p>
      <w:pPr>
        <w:pStyle w:val="105"/>
        <w:rPr>
          <w:color w:val="000000"/>
        </w:rPr>
      </w:pPr>
      <w:bookmarkStart w:id="1151" w:name="_Toc256000097"/>
      <w:r>
        <w:rPr>
          <w:rFonts w:hint="eastAsia"/>
          <w:color w:val="000000"/>
        </w:rPr>
        <w:t>附表五：施工总平面图</w:t>
      </w:r>
      <w:bookmarkEnd w:id="1151"/>
    </w:p>
    <w:p>
      <w:pPr>
        <w:pStyle w:val="104"/>
        <w:spacing w:line="400" w:lineRule="exact"/>
        <w:rPr>
          <w:rFonts w:eastAsia="黑体"/>
          <w:color w:val="000000"/>
          <w:sz w:val="19"/>
          <w:szCs w:val="19"/>
        </w:rPr>
      </w:pPr>
      <w:r>
        <w:rPr>
          <w:rFonts w:eastAsia="黑体"/>
          <w:color w:val="000000"/>
          <w:sz w:val="19"/>
          <w:szCs w:val="19"/>
        </w:rPr>
        <w:tab/>
      </w:r>
    </w:p>
    <w:p>
      <w:pPr>
        <w:pStyle w:val="104"/>
        <w:spacing w:line="400" w:lineRule="exact"/>
        <w:ind w:firstLine="420" w:firstLineChars="200"/>
        <w:rPr>
          <w:color w:val="000000"/>
          <w:szCs w:val="21"/>
        </w:rPr>
      </w:pPr>
      <w:r>
        <w:rPr>
          <w:rFonts w:hint="eastAsia"/>
          <w:color w:val="000000"/>
          <w:szCs w:val="21"/>
        </w:rPr>
        <w:t>投标人应递交一份施工总平面图，绘出现场临时设施布置图表并附文字说明，说明临时设施、加工车间、现场办公、设备及仓储、供电、供水、卫生、生活、道路、消防等设施的情况和布置。</w:t>
      </w:r>
    </w:p>
    <w:p>
      <w:pPr>
        <w:pStyle w:val="104"/>
        <w:spacing w:line="400" w:lineRule="exact"/>
        <w:rPr>
          <w:rFonts w:eastAsia="黑体"/>
          <w:color w:val="000000"/>
          <w:sz w:val="19"/>
          <w:szCs w:val="19"/>
        </w:rPr>
      </w:pPr>
    </w:p>
    <w:p>
      <w:pPr>
        <w:pStyle w:val="104"/>
        <w:spacing w:line="400" w:lineRule="exact"/>
        <w:rPr>
          <w:rFonts w:eastAsia="黑体"/>
          <w:color w:val="000000"/>
          <w:sz w:val="19"/>
          <w:szCs w:val="19"/>
        </w:rPr>
      </w:pPr>
      <w:r>
        <w:rPr>
          <w:rFonts w:eastAsia="黑体"/>
          <w:color w:val="000000"/>
          <w:sz w:val="19"/>
          <w:szCs w:val="19"/>
        </w:rPr>
        <w:br w:type="page"/>
      </w:r>
    </w:p>
    <w:p>
      <w:pPr>
        <w:pStyle w:val="105"/>
        <w:rPr>
          <w:color w:val="000000"/>
        </w:rPr>
      </w:pPr>
      <w:bookmarkStart w:id="1152" w:name="_Toc256000098"/>
      <w:r>
        <w:rPr>
          <w:rFonts w:hint="eastAsia"/>
          <w:color w:val="000000"/>
        </w:rPr>
        <w:t>附表六：临时用地表</w:t>
      </w:r>
      <w:bookmarkEnd w:id="1152"/>
    </w:p>
    <w:p>
      <w:pPr>
        <w:pStyle w:val="104"/>
        <w:spacing w:line="400" w:lineRule="exact"/>
        <w:jc w:val="center"/>
        <w:rPr>
          <w:color w:val="000000"/>
          <w:sz w:val="22"/>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用 途</w:t>
            </w:r>
          </w:p>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面 积（㎡）</w:t>
            </w: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位 置</w:t>
            </w: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r>
              <w:rPr>
                <w:rFonts w:hint="eastAsia" w:ascii="宋体" w:hAnsi="宋体"/>
                <w:color w:val="00000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c>
          <w:tcPr>
            <w:tcW w:w="1250" w:type="pct"/>
            <w:tcBorders>
              <w:top w:val="single" w:color="auto" w:sz="4" w:space="0"/>
              <w:left w:val="single" w:color="auto" w:sz="4" w:space="0"/>
              <w:bottom w:val="single" w:color="auto" w:sz="4" w:space="0"/>
              <w:right w:val="single" w:color="auto" w:sz="4" w:space="0"/>
            </w:tcBorders>
          </w:tcPr>
          <w:p>
            <w:pPr>
              <w:pStyle w:val="104"/>
              <w:spacing w:line="400" w:lineRule="exact"/>
              <w:jc w:val="center"/>
              <w:rPr>
                <w:rFonts w:ascii="宋体" w:hAnsi="宋体"/>
                <w:color w:val="000000"/>
                <w:szCs w:val="21"/>
              </w:rPr>
            </w:pPr>
          </w:p>
        </w:tc>
      </w:tr>
    </w:tbl>
    <w:p>
      <w:pPr>
        <w:pStyle w:val="108"/>
        <w:outlineLvl w:val="1"/>
      </w:pPr>
      <w:r>
        <w:br w:type="page"/>
      </w:r>
      <w:bookmarkStart w:id="1153" w:name="_Toc256000099"/>
      <w:r>
        <w:rPr>
          <w:rFonts w:ascii="黑体" w:hAnsi="黑体" w:eastAsia="黑体" w:cs="黑体"/>
          <w:b/>
          <w:sz w:val="32"/>
        </w:rPr>
        <w:t>六、项目管理机构</w:t>
      </w:r>
      <w:bookmarkEnd w:id="1153"/>
    </w:p>
    <w:p>
      <w:pPr>
        <w:pStyle w:val="109"/>
        <w:outlineLvl w:val="2"/>
      </w:pPr>
      <w:r>
        <w:br w:type="page"/>
      </w:r>
      <w:bookmarkStart w:id="1154" w:name="_Toc256000100"/>
      <w:r>
        <w:rPr>
          <w:rFonts w:ascii="黑体" w:hAnsi="黑体" w:eastAsia="黑体" w:cs="黑体"/>
          <w:b/>
          <w:sz w:val="28"/>
        </w:rPr>
        <w:t>(一)项目管理机构组成表</w:t>
      </w:r>
      <w:bookmarkEnd w:id="1154"/>
    </w:p>
    <w:p>
      <w:pPr>
        <w:pStyle w:val="110"/>
        <w:spacing w:line="400" w:lineRule="exact"/>
        <w:jc w:val="center"/>
        <w:rPr>
          <w:rFonts w:eastAsia="黑体"/>
          <w:color w:val="000000"/>
          <w:sz w:val="22"/>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1"/>
        <w:gridCol w:w="720"/>
        <w:gridCol w:w="1081"/>
        <w:gridCol w:w="720"/>
        <w:gridCol w:w="721"/>
        <w:gridCol w:w="720"/>
        <w:gridCol w:w="252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职务</w:t>
            </w:r>
          </w:p>
        </w:tc>
        <w:tc>
          <w:tcPr>
            <w:tcW w:w="423" w:type="pct"/>
            <w:vMerge w:val="restar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姓名</w:t>
            </w:r>
          </w:p>
        </w:tc>
        <w:tc>
          <w:tcPr>
            <w:tcW w:w="422" w:type="pct"/>
            <w:vMerge w:val="restar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职称</w:t>
            </w:r>
          </w:p>
        </w:tc>
        <w:tc>
          <w:tcPr>
            <w:tcW w:w="3381" w:type="pct"/>
            <w:gridSpan w:val="5"/>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执业或职业资格证明</w:t>
            </w: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0"/>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0"/>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0"/>
              <w:widowControl/>
              <w:jc w:val="left"/>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证书名称</w:t>
            </w: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级别</w:t>
            </w: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证号</w:t>
            </w: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专业</w:t>
            </w: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r>
              <w:rPr>
                <w:rFonts w:hint="eastAsia" w:ascii="宋体" w:hAnsi="宋体"/>
                <w:color w:val="000000"/>
                <w:szCs w:val="21"/>
              </w:rPr>
              <w:t>社会保险</w:t>
            </w: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1480"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c>
          <w:tcPr>
            <w:tcW w:w="394" w:type="pct"/>
            <w:tcBorders>
              <w:top w:val="single" w:color="auto" w:sz="4" w:space="0"/>
              <w:left w:val="single" w:color="auto" w:sz="4" w:space="0"/>
              <w:bottom w:val="single" w:color="auto" w:sz="4" w:space="0"/>
              <w:right w:val="single" w:color="auto" w:sz="4" w:space="0"/>
            </w:tcBorders>
            <w:vAlign w:val="center"/>
          </w:tcPr>
          <w:p>
            <w:pPr>
              <w:pStyle w:val="110"/>
              <w:spacing w:line="400" w:lineRule="exact"/>
              <w:jc w:val="center"/>
              <w:rPr>
                <w:rFonts w:ascii="宋体" w:hAnsi="宋体"/>
                <w:color w:val="000000"/>
                <w:szCs w:val="21"/>
              </w:rPr>
            </w:pPr>
          </w:p>
        </w:tc>
      </w:tr>
    </w:tbl>
    <w:p>
      <w:pPr>
        <w:pStyle w:val="111"/>
      </w:pPr>
      <w:r>
        <w:t xml:space="preserve">    备注：本表应附材料如下：</w:t>
      </w:r>
    </w:p>
    <w:p>
      <w:pPr>
        <w:pStyle w:val="90"/>
      </w:pPr>
      <w:r>
        <w:t>职称证（执业证或上岗证书）、养老保险证明、其他。</w:t>
      </w:r>
    </w:p>
    <w:p>
      <w:pPr>
        <w:pStyle w:val="112"/>
        <w:outlineLvl w:val="2"/>
      </w:pPr>
      <w:r>
        <w:br w:type="page"/>
      </w:r>
      <w:bookmarkStart w:id="1155" w:name="_Toc256000101"/>
      <w:r>
        <w:rPr>
          <w:rFonts w:ascii="黑体" w:hAnsi="黑体" w:eastAsia="黑体" w:cs="黑体"/>
          <w:b/>
          <w:sz w:val="28"/>
        </w:rPr>
        <w:t>(二)主要人员简历表</w:t>
      </w:r>
      <w:bookmarkEnd w:id="1155"/>
    </w:p>
    <w:p>
      <w:pPr>
        <w:pStyle w:val="113"/>
      </w:pPr>
    </w:p>
    <w:tbl>
      <w:tblPr>
        <w:tblStyle w:val="3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359"/>
        <w:gridCol w:w="720"/>
        <w:gridCol w:w="927"/>
        <w:gridCol w:w="1065"/>
        <w:gridCol w:w="708"/>
        <w:gridCol w:w="1261"/>
        <w:gridCol w:w="397"/>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学历</w:t>
            </w:r>
          </w:p>
        </w:tc>
        <w:tc>
          <w:tcPr>
            <w:tcW w:w="213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执业资格</w:t>
            </w:r>
          </w:p>
        </w:tc>
        <w:tc>
          <w:tcPr>
            <w:tcW w:w="3071"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安全生产考核合格证书</w:t>
            </w:r>
          </w:p>
        </w:tc>
        <w:tc>
          <w:tcPr>
            <w:tcW w:w="213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毕业学校</w:t>
            </w:r>
          </w:p>
        </w:tc>
        <w:tc>
          <w:tcPr>
            <w:tcW w:w="7572" w:type="dxa"/>
            <w:gridSpan w:val="8"/>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r>
              <w:rPr>
                <w:rFonts w:hint="eastAsia" w:ascii="宋体" w:hAnsi="宋体"/>
                <w:color w:val="000000"/>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9"/>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jc w:val="center"/>
              <w:rPr>
                <w:rFonts w:ascii="宋体" w:hAnsi="宋体"/>
                <w:color w:val="000000"/>
                <w:szCs w:val="21"/>
              </w:rPr>
            </w:pPr>
            <w:r>
              <w:rPr>
                <w:rFonts w:hint="eastAsia" w:ascii="宋体" w:hAnsi="宋体"/>
                <w:color w:val="000000"/>
                <w:szCs w:val="21"/>
              </w:rPr>
              <w:t>担任职务</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r>
              <w:rPr>
                <w:rFonts w:hint="eastAsia"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pStyle w:val="113"/>
              <w:spacing w:line="400" w:lineRule="exact"/>
              <w:rPr>
                <w:rFonts w:ascii="宋体" w:hAnsi="宋体"/>
                <w:color w:val="000000"/>
                <w:szCs w:val="21"/>
              </w:rPr>
            </w:pPr>
          </w:p>
        </w:tc>
      </w:tr>
    </w:tbl>
    <w:p>
      <w:pPr>
        <w:pStyle w:val="113"/>
        <w:spacing w:line="400" w:lineRule="exact"/>
        <w:rPr>
          <w:rFonts w:ascii="Times New Roman" w:hAnsi="Times New Roman" w:eastAsia="黑体"/>
          <w:color w:val="000000"/>
          <w:sz w:val="19"/>
          <w:szCs w:val="19"/>
        </w:rPr>
      </w:pPr>
      <w:r>
        <w:rPr>
          <w:rFonts w:hint="eastAsia" w:ascii="宋体" w:hAnsi="宋体"/>
          <w:color w:val="000000"/>
          <w:szCs w:val="21"/>
        </w:rPr>
        <w:t>注</w:t>
      </w:r>
      <w:r>
        <w:rPr>
          <w:rFonts w:hint="eastAsia" w:ascii="宋体" w:hAnsi="宋体"/>
          <w:color w:val="000000"/>
        </w:rPr>
        <w:t>：主要人员指项目经理、技术负责人、安全管理人员（专职安全生产管理人员）、质量管理人员、财务负责人及其它主要人员。</w:t>
      </w:r>
    </w:p>
    <w:p>
      <w:pPr>
        <w:pStyle w:val="111"/>
      </w:pPr>
      <w:r>
        <w:t xml:space="preserve">    备注：本表应附材料如下：</w:t>
      </w:r>
    </w:p>
    <w:p>
      <w:pPr>
        <w:pStyle w:val="90"/>
      </w:pPr>
      <w:r>
        <w:t>建造师证书、项目经理身份证、项目经理职称证书。</w:t>
      </w:r>
    </w:p>
    <w:p>
      <w:pPr>
        <w:pStyle w:val="114"/>
        <w:outlineLvl w:val="1"/>
      </w:pPr>
      <w:r>
        <w:br w:type="page"/>
      </w:r>
      <w:bookmarkStart w:id="1156" w:name="_Toc256000102"/>
      <w:r>
        <w:rPr>
          <w:rFonts w:ascii="黑体" w:hAnsi="黑体" w:eastAsia="黑体" w:cs="黑体"/>
          <w:b/>
          <w:sz w:val="32"/>
        </w:rPr>
        <w:t>七、拟分包项目情况表</w:t>
      </w:r>
      <w:bookmarkEnd w:id="1156"/>
    </w:p>
    <w:p>
      <w:pPr>
        <w:pStyle w:val="115"/>
        <w:jc w:val="center"/>
        <w:rPr>
          <w:rFonts w:ascii="黑体" w:hAnsi="黑体" w:eastAsia="黑体"/>
          <w:b/>
          <w:sz w:val="30"/>
          <w:szCs w:val="30"/>
        </w:rPr>
      </w:pPr>
      <w:r>
        <w:rPr>
          <w:rFonts w:hint="eastAsia" w:ascii="黑体" w:hAnsi="黑体" w:eastAsia="黑体"/>
          <w:b/>
          <w:sz w:val="30"/>
          <w:szCs w:val="30"/>
        </w:rPr>
        <w:t>拟分包项目情况表</w:t>
      </w:r>
    </w:p>
    <w:p>
      <w:pPr>
        <w:pStyle w:val="115"/>
        <w:spacing w:line="400" w:lineRule="exact"/>
        <w:rPr>
          <w:rFonts w:ascii="Times New Roman" w:hAnsi="Times New Roman" w:eastAsia="黑体"/>
          <w:color w:val="000000"/>
          <w:sz w:val="19"/>
          <w:szCs w:val="19"/>
        </w:rPr>
      </w:pPr>
      <w:r>
        <w:rPr>
          <w:rFonts w:eastAsia="黑体"/>
          <w:color w:val="000000"/>
          <w:sz w:val="19"/>
          <w:szCs w:val="19"/>
        </w:rPr>
        <w:t xml:space="preserve">                          </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2355"/>
        <w:gridCol w:w="178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分包人名称</w:t>
            </w: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地  址</w:t>
            </w:r>
          </w:p>
        </w:tc>
        <w:tc>
          <w:tcPr>
            <w:tcW w:w="1452"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法定代表人</w:t>
            </w: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电  话</w:t>
            </w:r>
          </w:p>
        </w:tc>
        <w:tc>
          <w:tcPr>
            <w:tcW w:w="1452"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营业执照号码</w:t>
            </w: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资质等级</w:t>
            </w:r>
          </w:p>
        </w:tc>
        <w:tc>
          <w:tcPr>
            <w:tcW w:w="1452"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拟分包的工程项目</w:t>
            </w: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主要内容</w:t>
            </w: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r>
              <w:rPr>
                <w:rFonts w:hint="eastAsia" w:ascii="宋体" w:hAnsi="宋体"/>
                <w:color w:val="000000"/>
                <w:szCs w:val="21"/>
              </w:rPr>
              <w:t>预计造价（万元）</w:t>
            </w:r>
          </w:p>
        </w:tc>
        <w:tc>
          <w:tcPr>
            <w:tcW w:w="1452" w:type="pct"/>
            <w:tcBorders>
              <w:top w:val="single" w:color="auto" w:sz="4" w:space="0"/>
              <w:left w:val="single" w:color="auto" w:sz="4" w:space="0"/>
              <w:bottom w:val="single" w:color="auto" w:sz="4" w:space="0"/>
              <w:right w:val="single" w:color="auto" w:sz="4" w:space="0"/>
            </w:tcBorders>
          </w:tcPr>
          <w:p>
            <w:pPr>
              <w:pStyle w:val="115"/>
              <w:spacing w:line="400" w:lineRule="exact"/>
              <w:jc w:val="center"/>
              <w:rPr>
                <w:rFonts w:ascii="宋体" w:hAnsi="宋体"/>
                <w:color w:val="000000"/>
                <w:szCs w:val="21"/>
              </w:rPr>
            </w:pPr>
            <w:r>
              <w:rPr>
                <w:rFonts w:hint="eastAsia" w:ascii="宋体" w:hAnsi="宋体"/>
                <w:color w:val="000000"/>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452" w:type="pct"/>
            <w:vMerge w:val="restar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p>
            <w:pPr>
              <w:pStyle w:val="115"/>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381"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1048" w:type="pct"/>
            <w:tcBorders>
              <w:top w:val="single" w:color="auto" w:sz="4" w:space="0"/>
              <w:left w:val="single" w:color="auto" w:sz="4" w:space="0"/>
              <w:bottom w:val="single" w:color="auto" w:sz="4" w:space="0"/>
              <w:right w:val="single" w:color="auto" w:sz="4" w:space="0"/>
            </w:tcBorders>
          </w:tcPr>
          <w:p>
            <w:pPr>
              <w:pStyle w:val="115"/>
              <w:spacing w:line="400" w:lineRule="exac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15"/>
              <w:widowControl/>
              <w:jc w:val="left"/>
              <w:rPr>
                <w:rFonts w:ascii="宋体" w:hAnsi="宋体"/>
                <w:color w:val="000000"/>
                <w:szCs w:val="21"/>
              </w:rPr>
            </w:pPr>
          </w:p>
        </w:tc>
      </w:tr>
    </w:tbl>
    <w:p>
      <w:pPr>
        <w:pStyle w:val="116"/>
        <w:outlineLvl w:val="1"/>
      </w:pPr>
      <w:r>
        <w:br w:type="page"/>
      </w:r>
      <w:bookmarkStart w:id="1157" w:name="_Toc256000103"/>
      <w:r>
        <w:rPr>
          <w:rFonts w:ascii="黑体" w:hAnsi="黑体" w:eastAsia="黑体" w:cs="黑体"/>
          <w:b/>
          <w:sz w:val="32"/>
        </w:rPr>
        <w:t>八、资格审查资料</w:t>
      </w:r>
      <w:bookmarkEnd w:id="1157"/>
    </w:p>
    <w:p>
      <w:pPr>
        <w:pStyle w:val="117"/>
        <w:outlineLvl w:val="2"/>
      </w:pPr>
      <w:r>
        <w:br w:type="page"/>
      </w:r>
      <w:bookmarkStart w:id="1158" w:name="_Toc256000104"/>
      <w:r>
        <w:rPr>
          <w:rFonts w:ascii="黑体" w:hAnsi="黑体" w:eastAsia="黑体" w:cs="黑体"/>
          <w:b/>
          <w:sz w:val="28"/>
        </w:rPr>
        <w:t>(一)投标人基本情况表</w:t>
      </w:r>
      <w:bookmarkEnd w:id="1158"/>
    </w:p>
    <w:p>
      <w:pPr>
        <w:pStyle w:val="118"/>
        <w:spacing w:line="400" w:lineRule="exact"/>
        <w:rPr>
          <w:color w:val="000000"/>
          <w:szCs w:val="21"/>
        </w:rPr>
      </w:pPr>
    </w:p>
    <w:tbl>
      <w:tblPr>
        <w:tblStyle w:val="36"/>
        <w:tblW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182"/>
        <w:gridCol w:w="1168"/>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电</w:t>
            </w:r>
            <w:r>
              <w:rPr>
                <w:color w:val="000000"/>
                <w:sz w:val="20"/>
                <w:szCs w:val="20"/>
              </w:rPr>
              <w:t xml:space="preserve"> </w:t>
            </w:r>
            <w:r>
              <w:rPr>
                <w:rFonts w:hint="eastAsia"/>
                <w:color w:val="000000"/>
                <w:sz w:val="20"/>
                <w:szCs w:val="20"/>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89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传</w:t>
            </w:r>
            <w:r>
              <w:rPr>
                <w:color w:val="000000"/>
                <w:sz w:val="20"/>
                <w:szCs w:val="20"/>
              </w:rPr>
              <w:t xml:space="preserve">  </w:t>
            </w:r>
            <w:r>
              <w:rPr>
                <w:rFonts w:hint="eastAsia"/>
                <w:color w:val="000000"/>
                <w:sz w:val="20"/>
                <w:szCs w:val="20"/>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网</w:t>
            </w:r>
            <w:r>
              <w:rPr>
                <w:color w:val="000000"/>
                <w:sz w:val="20"/>
                <w:szCs w:val="20"/>
              </w:rPr>
              <w:t xml:space="preserve"> </w:t>
            </w:r>
            <w:r>
              <w:rPr>
                <w:rFonts w:hint="eastAsia"/>
                <w:color w:val="000000"/>
                <w:sz w:val="20"/>
                <w:szCs w:val="20"/>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姓名</w:t>
            </w:r>
          </w:p>
        </w:tc>
        <w:tc>
          <w:tcPr>
            <w:tcW w:w="951"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技术职称</w:t>
            </w:r>
          </w:p>
        </w:tc>
        <w:tc>
          <w:tcPr>
            <w:tcW w:w="1571"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电话</w:t>
            </w:r>
          </w:p>
        </w:tc>
        <w:tc>
          <w:tcPr>
            <w:tcW w:w="992"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姓名</w:t>
            </w:r>
          </w:p>
        </w:tc>
        <w:tc>
          <w:tcPr>
            <w:tcW w:w="951"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技术职称</w:t>
            </w:r>
          </w:p>
        </w:tc>
        <w:tc>
          <w:tcPr>
            <w:tcW w:w="1571" w:type="dxa"/>
            <w:gridSpan w:val="3"/>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电话</w:t>
            </w:r>
          </w:p>
        </w:tc>
        <w:tc>
          <w:tcPr>
            <w:tcW w:w="992"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gridSpan w:val="5"/>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员工总人数：</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ind w:firstLine="1000" w:firstLineChars="500"/>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其中</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项目经理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高级职称人员</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中级职称人员</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初级职称人员</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pStyle w:val="118"/>
              <w:widowControl/>
              <w:jc w:val="left"/>
              <w:rPr>
                <w:color w:val="000000"/>
                <w:sz w:val="20"/>
                <w:szCs w:val="2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pStyle w:val="118"/>
              <w:spacing w:line="400" w:lineRule="exact"/>
              <w:jc w:val="center"/>
              <w:rPr>
                <w:color w:val="000000"/>
                <w:sz w:val="20"/>
                <w:szCs w:val="20"/>
              </w:rPr>
            </w:pPr>
            <w:r>
              <w:rPr>
                <w:rFonts w:hint="eastAsia"/>
                <w:color w:val="000000"/>
                <w:sz w:val="20"/>
                <w:szCs w:val="20"/>
              </w:rPr>
              <w:t>技</w:t>
            </w:r>
            <w:r>
              <w:rPr>
                <w:color w:val="000000"/>
                <w:sz w:val="20"/>
                <w:szCs w:val="20"/>
              </w:rPr>
              <w:t xml:space="preserve">  </w:t>
            </w:r>
            <w:r>
              <w:rPr>
                <w:rFonts w:hint="eastAsia"/>
                <w:color w:val="000000"/>
                <w:sz w:val="20"/>
                <w:szCs w:val="20"/>
              </w:rPr>
              <w:t>工</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1728" w:type="dxa"/>
            <w:tcBorders>
              <w:top w:val="single" w:color="auto" w:sz="4" w:space="0"/>
              <w:left w:val="single" w:color="auto" w:sz="4" w:space="0"/>
              <w:bottom w:val="nil"/>
              <w:right w:val="single" w:color="auto" w:sz="4" w:space="0"/>
            </w:tcBorders>
            <w:vAlign w:val="center"/>
          </w:tcPr>
          <w:p>
            <w:pPr>
              <w:pStyle w:val="118"/>
              <w:topLinePunct/>
              <w:spacing w:line="400" w:lineRule="exact"/>
              <w:ind w:firstLine="200" w:firstLineChars="100"/>
              <w:jc w:val="center"/>
              <w:rPr>
                <w:color w:val="000000"/>
                <w:sz w:val="20"/>
                <w:szCs w:val="20"/>
              </w:rPr>
            </w:pPr>
            <w:r>
              <w:rPr>
                <w:rFonts w:hint="eastAsia"/>
                <w:color w:val="000000"/>
                <w:sz w:val="20"/>
                <w:szCs w:val="20"/>
              </w:rPr>
              <w:t>经营范围</w:t>
            </w:r>
          </w:p>
        </w:tc>
        <w:tc>
          <w:tcPr>
            <w:tcW w:w="6840" w:type="dxa"/>
            <w:gridSpan w:val="9"/>
            <w:tcBorders>
              <w:top w:val="single" w:color="auto" w:sz="4" w:space="0"/>
              <w:left w:val="single" w:color="auto" w:sz="4" w:space="0"/>
              <w:bottom w:val="nil"/>
              <w:right w:val="single" w:color="auto" w:sz="4" w:space="0"/>
            </w:tcBorders>
            <w:vAlign w:val="center"/>
          </w:tcPr>
          <w:p>
            <w:pPr>
              <w:pStyle w:val="118"/>
              <w:topLinePunct/>
              <w:spacing w:line="400" w:lineRule="exact"/>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p>
            <w:pPr>
              <w:pStyle w:val="118"/>
              <w:topLinePunct/>
              <w:spacing w:line="40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r>
              <w:rPr>
                <w:rFonts w:hint="eastAsia"/>
                <w:color w:val="000000"/>
                <w:sz w:val="20"/>
                <w:szCs w:val="20"/>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pStyle w:val="118"/>
              <w:topLinePunct/>
              <w:spacing w:line="400" w:lineRule="exact"/>
              <w:jc w:val="center"/>
              <w:rPr>
                <w:color w:val="000000"/>
                <w:sz w:val="20"/>
                <w:szCs w:val="20"/>
              </w:rPr>
            </w:pPr>
          </w:p>
        </w:tc>
      </w:tr>
    </w:tbl>
    <w:p>
      <w:pPr>
        <w:pStyle w:val="118"/>
      </w:pPr>
      <w:r>
        <w:rPr>
          <w:rFonts w:hint="eastAsia"/>
          <w:color w:val="000000"/>
        </w:rPr>
        <w:t>注</w:t>
      </w:r>
      <w:r>
        <w:rPr>
          <w:color w:val="000000"/>
        </w:rPr>
        <w:t xml:space="preserve"> </w:t>
      </w:r>
      <w:r>
        <w:rPr>
          <w:rFonts w:hint="eastAsia"/>
          <w:color w:val="000000"/>
        </w:rPr>
        <w:t>相关材料复印件在“十、原件的复印件”中提供。</w:t>
      </w:r>
    </w:p>
    <w:p>
      <w:pPr>
        <w:pStyle w:val="111"/>
      </w:pPr>
      <w:r>
        <w:t xml:space="preserve">    备注：本表应附材料如下：</w:t>
      </w:r>
    </w:p>
    <w:p>
      <w:pPr>
        <w:pStyle w:val="90"/>
      </w:pPr>
      <w:r>
        <w:t>法人营业执照、施工企业安全生产许可证、组织机构代码证。</w:t>
      </w:r>
    </w:p>
    <w:p>
      <w:pPr>
        <w:pStyle w:val="119"/>
        <w:outlineLvl w:val="2"/>
      </w:pPr>
      <w:r>
        <w:br w:type="page"/>
      </w:r>
      <w:bookmarkStart w:id="1159" w:name="_Toc256000105"/>
      <w:r>
        <w:rPr>
          <w:rFonts w:ascii="黑体" w:hAnsi="黑体" w:eastAsia="黑体" w:cs="黑体"/>
          <w:b/>
          <w:sz w:val="28"/>
        </w:rPr>
        <w:t>(二)近3年财务状况表</w:t>
      </w:r>
      <w:bookmarkEnd w:id="1159"/>
    </w:p>
    <w:p>
      <w:pPr>
        <w:pStyle w:val="120"/>
        <w:spacing w:line="400" w:lineRule="exact"/>
        <w:jc w:val="center"/>
        <w:rPr>
          <w:color w:val="000000"/>
          <w:szCs w:val="24"/>
          <w:u w:val="single"/>
        </w:rPr>
      </w:pPr>
      <w:r>
        <w:rPr>
          <w:rFonts w:hint="eastAsia"/>
          <w:color w:val="000000"/>
        </w:rPr>
        <w:t>（近</w:t>
      </w:r>
      <w:r>
        <w:rPr>
          <w:color w:val="000000"/>
        </w:rPr>
        <w:t>3</w:t>
      </w:r>
      <w:r>
        <w:rPr>
          <w:rFonts w:hint="eastAsia"/>
          <w:color w:val="000000"/>
        </w:rPr>
        <w:t>年指</w:t>
      </w:r>
      <w:r>
        <w:rPr>
          <w:color w:val="000000"/>
          <w:u w:val="single"/>
        </w:rPr>
        <w:t xml:space="preserve">  </w:t>
      </w:r>
      <w:r>
        <w:rPr>
          <w:rFonts w:hint="eastAsia"/>
          <w:color w:val="000000"/>
          <w:u w:val="single"/>
          <w:lang w:val="en-US" w:eastAsia="zh-CN"/>
        </w:rPr>
        <w:t>2021</w:t>
      </w:r>
      <w:r>
        <w:rPr>
          <w:color w:val="000000"/>
          <w:u w:val="single"/>
        </w:rPr>
        <w:t xml:space="preserve">  </w:t>
      </w:r>
      <w:r>
        <w:rPr>
          <w:rFonts w:hint="eastAsia"/>
          <w:color w:val="000000"/>
        </w:rPr>
        <w:t>年</w:t>
      </w:r>
      <w:r>
        <w:rPr>
          <w:color w:val="000000"/>
          <w:u w:val="single"/>
        </w:rPr>
        <w:t xml:space="preserve"> </w:t>
      </w:r>
      <w:r>
        <w:rPr>
          <w:rFonts w:hint="eastAsia"/>
          <w:color w:val="000000"/>
          <w:u w:val="single"/>
          <w:lang w:val="en-US" w:eastAsia="zh-CN"/>
        </w:rPr>
        <w:t>1</w:t>
      </w:r>
      <w:r>
        <w:rPr>
          <w:color w:val="000000"/>
          <w:u w:val="single"/>
        </w:rPr>
        <w:t xml:space="preserve">   </w:t>
      </w:r>
      <w:r>
        <w:rPr>
          <w:rFonts w:hint="eastAsia"/>
          <w:color w:val="000000"/>
        </w:rPr>
        <w:t>月至</w:t>
      </w:r>
      <w:r>
        <w:rPr>
          <w:rFonts w:hint="eastAsia"/>
          <w:color w:val="000000"/>
          <w:u w:val="single"/>
          <w:lang w:eastAsia="zh-CN"/>
        </w:rPr>
        <w:t>今</w:t>
      </w:r>
      <w:r>
        <w:rPr>
          <w:rFonts w:hint="eastAsia"/>
          <w:color w:val="000000"/>
        </w:rPr>
        <w:t>）</w:t>
      </w:r>
    </w:p>
    <w:p>
      <w:pPr>
        <w:pStyle w:val="120"/>
        <w:spacing w:line="400" w:lineRule="exact"/>
        <w:rPr>
          <w:b/>
          <w:color w:val="000000"/>
        </w:rPr>
      </w:pPr>
      <w:r>
        <w:rPr>
          <w:b/>
          <w:color w:val="000000"/>
        </w:rPr>
        <w:t>1.</w:t>
      </w:r>
      <w:r>
        <w:rPr>
          <w:rFonts w:hint="eastAsia"/>
          <w:b/>
          <w:color w:val="000000"/>
        </w:rPr>
        <w:t>财务状况表</w:t>
      </w:r>
    </w:p>
    <w:p>
      <w:pPr>
        <w:pStyle w:val="120"/>
        <w:spacing w:line="400" w:lineRule="exact"/>
        <w:jc w:val="center"/>
        <w:rPr>
          <w:b/>
          <w:color w:val="000000"/>
        </w:rPr>
      </w:pPr>
      <w:r>
        <w:rPr>
          <w:rFonts w:hint="eastAsia"/>
          <w:b/>
          <w:color w:val="000000"/>
        </w:rPr>
        <w:t>财务状况表</w:t>
      </w:r>
    </w:p>
    <w:tbl>
      <w:tblPr>
        <w:tblStyle w:val="36"/>
        <w:tblW w:w="0" w:type="auto"/>
        <w:tblInd w:w="39" w:type="dxa"/>
        <w:tblLayout w:type="fixed"/>
        <w:tblCellMar>
          <w:top w:w="0" w:type="dxa"/>
          <w:left w:w="0" w:type="dxa"/>
          <w:bottom w:w="0" w:type="dxa"/>
          <w:right w:w="0" w:type="dxa"/>
        </w:tblCellMar>
      </w:tblPr>
      <w:tblGrid>
        <w:gridCol w:w="2338"/>
        <w:gridCol w:w="1483"/>
        <w:gridCol w:w="1483"/>
        <w:gridCol w:w="1483"/>
        <w:gridCol w:w="1483"/>
      </w:tblGrid>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r>
              <w:rPr>
                <w:rFonts w:hint="eastAsia" w:ascii="宋体"/>
                <w:color w:val="000000"/>
                <w:kern w:val="0"/>
                <w:szCs w:val="21"/>
              </w:rPr>
              <w:t>名称</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r>
              <w:rPr>
                <w:rFonts w:hint="eastAsia" w:ascii="宋体"/>
                <w:color w:val="000000"/>
                <w:kern w:val="0"/>
                <w:szCs w:val="21"/>
              </w:rPr>
              <w:t>单位</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 xml:space="preserve">  </w:t>
            </w:r>
            <w:r>
              <w:rPr>
                <w:rFonts w:hint="eastAsia" w:ascii="宋体"/>
                <w:color w:val="000000"/>
                <w:kern w:val="0"/>
                <w:szCs w:val="21"/>
                <w:u w:val="single"/>
              </w:rPr>
              <w:t xml:space="preserve">      </w:t>
            </w:r>
            <w:r>
              <w:rPr>
                <w:rFonts w:hint="eastAsia" w:ascii="宋体"/>
                <w:color w:val="000000"/>
                <w:kern w:val="0"/>
                <w:szCs w:val="21"/>
              </w:rPr>
              <w:t>年</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r>
              <w:rPr>
                <w:rFonts w:hint="eastAsia" w:ascii="宋体"/>
                <w:color w:val="000000"/>
                <w:kern w:val="0"/>
                <w:szCs w:val="21"/>
                <w:u w:val="single"/>
              </w:rPr>
              <w:t xml:space="preserve">      </w:t>
            </w:r>
            <w:r>
              <w:rPr>
                <w:rFonts w:hint="eastAsia" w:ascii="宋体"/>
                <w:color w:val="000000"/>
                <w:kern w:val="0"/>
                <w:szCs w:val="21"/>
              </w:rPr>
              <w:t>年</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r>
              <w:rPr>
                <w:rFonts w:hint="eastAsia" w:ascii="宋体"/>
                <w:color w:val="000000"/>
                <w:kern w:val="0"/>
                <w:szCs w:val="21"/>
                <w:u w:val="single"/>
              </w:rPr>
              <w:t xml:space="preserve">      </w:t>
            </w:r>
            <w:r>
              <w:rPr>
                <w:rFonts w:hint="eastAsia" w:ascii="宋体"/>
                <w:color w:val="000000"/>
                <w:kern w:val="0"/>
                <w:szCs w:val="21"/>
              </w:rPr>
              <w:t>年</w:t>
            </w: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一、注册资金</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二、净资产</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三、总资产</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四、固定资产</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五、流动资产</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六、流动负债</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七、负债合计</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八、营业收入</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hint="eastAsia" w:ascii="宋体"/>
                <w:color w:val="000000"/>
                <w:kern w:val="0"/>
                <w:szCs w:val="21"/>
              </w:rPr>
              <w:t>九、净利润</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rPr>
                <w:rFonts w:ascii="宋体"/>
                <w:color w:val="000000"/>
                <w:kern w:val="0"/>
                <w:szCs w:val="21"/>
              </w:rPr>
            </w:pPr>
            <w:r>
              <w:rPr>
                <w:rFonts w:ascii="宋体"/>
                <w:color w:val="000000"/>
                <w:kern w:val="0"/>
                <w:szCs w:val="21"/>
              </w:rPr>
              <w:t>……</w:t>
            </w: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c>
          <w:tcPr>
            <w:tcW w:w="1483" w:type="dxa"/>
            <w:tcBorders>
              <w:top w:val="single" w:color="auto" w:sz="2" w:space="0"/>
              <w:left w:val="single" w:color="auto" w:sz="2" w:space="0"/>
              <w:bottom w:val="single" w:color="auto" w:sz="2" w:space="0"/>
              <w:right w:val="single" w:color="auto" w:sz="2" w:space="0"/>
            </w:tcBorders>
            <w:vAlign w:val="center"/>
          </w:tcPr>
          <w:p>
            <w:pPr>
              <w:pStyle w:val="120"/>
              <w:autoSpaceDE w:val="0"/>
              <w:autoSpaceDN w:val="0"/>
              <w:adjustRightInd w:val="0"/>
              <w:jc w:val="center"/>
              <w:rPr>
                <w:rFonts w:ascii="宋体"/>
                <w:color w:val="000000"/>
                <w:kern w:val="0"/>
                <w:szCs w:val="21"/>
              </w:rPr>
            </w:pPr>
          </w:p>
        </w:tc>
      </w:tr>
    </w:tbl>
    <w:p>
      <w:pPr>
        <w:pStyle w:val="120"/>
        <w:spacing w:line="400" w:lineRule="exact"/>
        <w:rPr>
          <w:rFonts w:ascii="Times New Roman" w:hAnsi="Times New Roman"/>
          <w:b/>
          <w:color w:val="000000"/>
        </w:rPr>
      </w:pPr>
    </w:p>
    <w:p>
      <w:pPr>
        <w:pStyle w:val="120"/>
        <w:spacing w:line="400" w:lineRule="exact"/>
        <w:rPr>
          <w:b/>
          <w:color w:val="000000"/>
        </w:rPr>
      </w:pPr>
      <w:r>
        <w:rPr>
          <w:b/>
          <w:color w:val="000000"/>
        </w:rPr>
        <w:t>2</w:t>
      </w:r>
      <w:r>
        <w:rPr>
          <w:rFonts w:hint="eastAsia"/>
          <w:b/>
          <w:color w:val="000000"/>
        </w:rPr>
        <w:t>．拟投人本项目的流动资金函</w:t>
      </w:r>
    </w:p>
    <w:p>
      <w:pPr>
        <w:pStyle w:val="120"/>
        <w:autoSpaceDE w:val="0"/>
        <w:autoSpaceDN w:val="0"/>
        <w:adjustRightInd w:val="0"/>
        <w:jc w:val="left"/>
        <w:rPr>
          <w:rFonts w:ascii="宋体"/>
          <w:color w:val="000000"/>
          <w:kern w:val="0"/>
          <w:szCs w:val="21"/>
        </w:rPr>
      </w:pPr>
      <w:r>
        <w:rPr>
          <w:rFonts w:hint="eastAsia" w:ascii="宋体"/>
          <w:color w:val="000000"/>
          <w:kern w:val="0"/>
          <w:sz w:val="18"/>
          <w:szCs w:val="18"/>
        </w:rPr>
        <w:t xml:space="preserve">                    </w:t>
      </w:r>
      <w:r>
        <w:rPr>
          <w:rFonts w:hint="eastAsia" w:ascii="宋体"/>
          <w:color w:val="000000"/>
          <w:kern w:val="0"/>
          <w:szCs w:val="21"/>
        </w:rPr>
        <w:t xml:space="preserve"> 拟投人本项目的流动资金函（格式）</w:t>
      </w:r>
    </w:p>
    <w:p>
      <w:pPr>
        <w:pStyle w:val="120"/>
        <w:autoSpaceDE w:val="0"/>
        <w:autoSpaceDN w:val="0"/>
        <w:adjustRightInd w:val="0"/>
        <w:ind w:firstLine="210" w:firstLineChars="100"/>
        <w:jc w:val="left"/>
        <w:rPr>
          <w:rFonts w:ascii="宋体"/>
          <w:color w:val="000000"/>
          <w:kern w:val="0"/>
          <w:szCs w:val="21"/>
        </w:rPr>
      </w:pPr>
      <w:r>
        <w:rPr>
          <w:rFonts w:hint="eastAsia" w:ascii="宋体"/>
          <w:color w:val="000000"/>
          <w:kern w:val="0"/>
          <w:szCs w:val="21"/>
          <w:u w:val="single"/>
        </w:rPr>
        <w:t xml:space="preserve">                    </w:t>
      </w:r>
      <w:r>
        <w:rPr>
          <w:rFonts w:hint="eastAsia" w:ascii="宋体"/>
          <w:color w:val="000000"/>
          <w:kern w:val="0"/>
          <w:szCs w:val="21"/>
        </w:rPr>
        <w:t>（招标人名称）:</w:t>
      </w:r>
    </w:p>
    <w:p>
      <w:pPr>
        <w:pStyle w:val="120"/>
        <w:autoSpaceDE w:val="0"/>
        <w:autoSpaceDN w:val="0"/>
        <w:adjustRightInd w:val="0"/>
        <w:jc w:val="left"/>
        <w:rPr>
          <w:rFonts w:ascii="宋体"/>
          <w:color w:val="000000"/>
          <w:kern w:val="0"/>
          <w:szCs w:val="21"/>
        </w:rPr>
      </w:pPr>
    </w:p>
    <w:p>
      <w:pPr>
        <w:pStyle w:val="120"/>
        <w:autoSpaceDE w:val="0"/>
        <w:autoSpaceDN w:val="0"/>
        <w:adjustRightInd w:val="0"/>
        <w:ind w:firstLine="735" w:firstLineChars="350"/>
        <w:jc w:val="left"/>
        <w:rPr>
          <w:rFonts w:ascii="宋体"/>
          <w:color w:val="000000"/>
          <w:kern w:val="0"/>
          <w:szCs w:val="21"/>
        </w:rPr>
      </w:pPr>
      <w:r>
        <w:rPr>
          <w:rFonts w:hint="eastAsia" w:ascii="宋体"/>
          <w:color w:val="000000"/>
          <w:kern w:val="0"/>
          <w:szCs w:val="21"/>
        </w:rPr>
        <w:t>我方拟投人</w:t>
      </w:r>
      <w:r>
        <w:rPr>
          <w:rFonts w:hint="eastAsia" w:ascii="宋体"/>
          <w:color w:val="000000"/>
          <w:kern w:val="0"/>
          <w:szCs w:val="21"/>
          <w:u w:val="single"/>
        </w:rPr>
        <w:t xml:space="preserve">              </w:t>
      </w:r>
      <w:r>
        <w:rPr>
          <w:rFonts w:hint="eastAsia" w:ascii="宋体"/>
          <w:color w:val="000000"/>
          <w:kern w:val="0"/>
          <w:szCs w:val="21"/>
        </w:rPr>
        <w:t>（项目名称）</w:t>
      </w:r>
      <w:r>
        <w:rPr>
          <w:rFonts w:hint="eastAsia" w:ascii="宋体"/>
          <w:color w:val="000000"/>
          <w:kern w:val="0"/>
          <w:szCs w:val="21"/>
          <w:u w:val="single"/>
        </w:rPr>
        <w:t xml:space="preserve">           </w:t>
      </w:r>
      <w:r>
        <w:rPr>
          <w:rFonts w:hint="eastAsia" w:ascii="宋体"/>
          <w:color w:val="000000"/>
          <w:kern w:val="0"/>
          <w:szCs w:val="21"/>
        </w:rPr>
        <w:t>（标段名称）的流动资金为</w:t>
      </w:r>
      <w:r>
        <w:rPr>
          <w:rFonts w:hint="eastAsia" w:ascii="宋体"/>
          <w:color w:val="000000"/>
          <w:kern w:val="0"/>
          <w:szCs w:val="21"/>
          <w:u w:val="single"/>
        </w:rPr>
        <w:t xml:space="preserve">        </w:t>
      </w:r>
      <w:r>
        <w:rPr>
          <w:rFonts w:hint="eastAsia" w:ascii="宋体"/>
          <w:color w:val="000000"/>
          <w:kern w:val="0"/>
          <w:szCs w:val="21"/>
        </w:rPr>
        <w:t>万元，资金来源于</w:t>
      </w:r>
      <w:r>
        <w:rPr>
          <w:rFonts w:hint="eastAsia" w:ascii="宋体"/>
          <w:color w:val="000000"/>
          <w:kern w:val="0"/>
          <w:szCs w:val="21"/>
          <w:u w:val="single"/>
        </w:rPr>
        <w:t xml:space="preserve">             </w:t>
      </w:r>
      <w:r>
        <w:rPr>
          <w:rFonts w:hint="eastAsia" w:ascii="宋体"/>
          <w:color w:val="000000"/>
          <w:kern w:val="0"/>
          <w:szCs w:val="21"/>
        </w:rPr>
        <w:t>，资金来源证明文件附后。</w:t>
      </w:r>
    </w:p>
    <w:p>
      <w:pPr>
        <w:pStyle w:val="120"/>
        <w:autoSpaceDE w:val="0"/>
        <w:autoSpaceDN w:val="0"/>
        <w:adjustRightInd w:val="0"/>
        <w:jc w:val="left"/>
        <w:rPr>
          <w:rFonts w:ascii="宋体"/>
          <w:color w:val="000000"/>
          <w:kern w:val="0"/>
          <w:szCs w:val="21"/>
        </w:rPr>
      </w:pPr>
    </w:p>
    <w:p>
      <w:pPr>
        <w:pStyle w:val="120"/>
        <w:autoSpaceDE w:val="0"/>
        <w:autoSpaceDN w:val="0"/>
        <w:adjustRightInd w:val="0"/>
        <w:jc w:val="left"/>
        <w:rPr>
          <w:rFonts w:ascii="宋体"/>
          <w:color w:val="000000"/>
          <w:kern w:val="0"/>
          <w:szCs w:val="21"/>
        </w:rPr>
      </w:pPr>
    </w:p>
    <w:p>
      <w:pPr>
        <w:pStyle w:val="120"/>
        <w:autoSpaceDE w:val="0"/>
        <w:autoSpaceDN w:val="0"/>
        <w:adjustRightInd w:val="0"/>
        <w:jc w:val="right"/>
        <w:rPr>
          <w:rFonts w:ascii="宋体"/>
          <w:color w:val="000000"/>
          <w:kern w:val="0"/>
          <w:szCs w:val="21"/>
        </w:rPr>
      </w:pPr>
      <w:r>
        <w:rPr>
          <w:rFonts w:hint="eastAsia" w:ascii="宋体"/>
          <w:color w:val="000000"/>
          <w:kern w:val="0"/>
          <w:szCs w:val="21"/>
        </w:rPr>
        <w:t>申 请 人：</w:t>
      </w:r>
      <w:r>
        <w:rPr>
          <w:rFonts w:hint="eastAsia" w:ascii="宋体"/>
          <w:color w:val="000000"/>
          <w:kern w:val="0"/>
          <w:szCs w:val="21"/>
          <w:u w:val="single"/>
        </w:rPr>
        <w:t xml:space="preserve">                        </w:t>
      </w:r>
      <w:r>
        <w:rPr>
          <w:rFonts w:hint="eastAsia" w:ascii="宋体"/>
          <w:color w:val="000000"/>
          <w:kern w:val="0"/>
          <w:szCs w:val="21"/>
        </w:rPr>
        <w:t>（盖单位章）</w:t>
      </w:r>
    </w:p>
    <w:p>
      <w:pPr>
        <w:pStyle w:val="120"/>
        <w:autoSpaceDE w:val="0"/>
        <w:autoSpaceDN w:val="0"/>
        <w:adjustRightInd w:val="0"/>
        <w:jc w:val="left"/>
        <w:rPr>
          <w:rFonts w:ascii="宋体"/>
          <w:color w:val="000000"/>
          <w:kern w:val="0"/>
          <w:szCs w:val="21"/>
        </w:rPr>
      </w:pPr>
      <w:r>
        <w:rPr>
          <w:rFonts w:hint="eastAsia" w:ascii="宋体"/>
          <w:color w:val="000000"/>
          <w:kern w:val="0"/>
          <w:szCs w:val="21"/>
        </w:rPr>
        <w:t xml:space="preserve">                                           </w:t>
      </w:r>
      <w:r>
        <w:rPr>
          <w:rFonts w:hint="eastAsia" w:ascii="宋体"/>
          <w:color w:val="000000"/>
          <w:kern w:val="0"/>
          <w:szCs w:val="21"/>
          <w:u w:val="single"/>
        </w:rPr>
        <w:t xml:space="preserve">          </w:t>
      </w:r>
      <w:r>
        <w:rPr>
          <w:rFonts w:hint="eastAsia" w:ascii="宋体"/>
          <w:color w:val="000000"/>
          <w:kern w:val="0"/>
          <w:szCs w:val="21"/>
        </w:rPr>
        <w:t>年</w:t>
      </w:r>
      <w:r>
        <w:rPr>
          <w:rFonts w:hint="eastAsia" w:ascii="宋体"/>
          <w:color w:val="000000"/>
          <w:kern w:val="0"/>
          <w:szCs w:val="21"/>
          <w:u w:val="single"/>
        </w:rPr>
        <w:t xml:space="preserve">         </w:t>
      </w:r>
      <w:r>
        <w:rPr>
          <w:rFonts w:hint="eastAsia" w:ascii="宋体"/>
          <w:color w:val="000000"/>
          <w:kern w:val="0"/>
          <w:szCs w:val="21"/>
        </w:rPr>
        <w:t>月</w:t>
      </w:r>
      <w:r>
        <w:rPr>
          <w:rFonts w:hint="eastAsia" w:ascii="宋体"/>
          <w:color w:val="000000"/>
          <w:kern w:val="0"/>
          <w:szCs w:val="21"/>
          <w:u w:val="single"/>
        </w:rPr>
        <w:t xml:space="preserve">          </w:t>
      </w:r>
      <w:r>
        <w:rPr>
          <w:rFonts w:hint="eastAsia" w:ascii="宋体"/>
          <w:color w:val="000000"/>
          <w:kern w:val="0"/>
          <w:szCs w:val="21"/>
        </w:rPr>
        <w:t>日</w:t>
      </w:r>
    </w:p>
    <w:p>
      <w:pPr>
        <w:pStyle w:val="120"/>
        <w:autoSpaceDE w:val="0"/>
        <w:autoSpaceDN w:val="0"/>
        <w:adjustRightInd w:val="0"/>
        <w:jc w:val="left"/>
        <w:rPr>
          <w:rFonts w:ascii="宋体"/>
          <w:color w:val="000000"/>
          <w:kern w:val="0"/>
          <w:szCs w:val="21"/>
        </w:rPr>
      </w:pPr>
    </w:p>
    <w:p>
      <w:pPr>
        <w:pStyle w:val="120"/>
        <w:autoSpaceDE w:val="0"/>
        <w:autoSpaceDN w:val="0"/>
        <w:adjustRightInd w:val="0"/>
        <w:jc w:val="left"/>
        <w:rPr>
          <w:rFonts w:ascii="宋体"/>
          <w:color w:val="000000"/>
          <w:kern w:val="0"/>
          <w:szCs w:val="21"/>
        </w:rPr>
      </w:pPr>
    </w:p>
    <w:p>
      <w:pPr>
        <w:pStyle w:val="120"/>
        <w:autoSpaceDE w:val="0"/>
        <w:autoSpaceDN w:val="0"/>
        <w:adjustRightInd w:val="0"/>
        <w:jc w:val="left"/>
        <w:rPr>
          <w:rFonts w:ascii="宋体"/>
          <w:color w:val="000000"/>
          <w:kern w:val="0"/>
          <w:szCs w:val="21"/>
        </w:rPr>
      </w:pPr>
    </w:p>
    <w:p>
      <w:pPr>
        <w:pStyle w:val="120"/>
        <w:autoSpaceDE w:val="0"/>
        <w:autoSpaceDN w:val="0"/>
        <w:adjustRightInd w:val="0"/>
        <w:jc w:val="left"/>
        <w:rPr>
          <w:rFonts w:ascii="宋体"/>
          <w:color w:val="000000"/>
          <w:kern w:val="0"/>
          <w:szCs w:val="21"/>
        </w:rPr>
      </w:pPr>
      <w:r>
        <w:rPr>
          <w:rFonts w:hint="eastAsia" w:ascii="宋体"/>
          <w:color w:val="000000"/>
          <w:kern w:val="0"/>
          <w:szCs w:val="21"/>
        </w:rPr>
        <w:t>注：相关材料复印件在本章“十、原件的复印件”中提供。资金来源填写银行存款、银行信贷或其它形式。</w:t>
      </w:r>
    </w:p>
    <w:p>
      <w:pPr>
        <w:pStyle w:val="111"/>
      </w:pPr>
      <w:r>
        <w:t xml:space="preserve">    备注：本表应附材料如下：</w:t>
      </w:r>
    </w:p>
    <w:p>
      <w:pPr>
        <w:pStyle w:val="90"/>
      </w:pPr>
      <w:r>
        <w:t>经会计师事务所或审计机构审计的财务会计报表。</w:t>
      </w:r>
    </w:p>
    <w:p>
      <w:pPr>
        <w:pStyle w:val="121"/>
        <w:outlineLvl w:val="2"/>
      </w:pPr>
      <w:r>
        <w:br w:type="page"/>
      </w:r>
      <w:bookmarkStart w:id="1160" w:name="_Toc256000106"/>
      <w:r>
        <w:rPr>
          <w:rFonts w:ascii="黑体" w:hAnsi="黑体" w:eastAsia="黑体" w:cs="黑体"/>
          <w:b/>
          <w:sz w:val="28"/>
        </w:rPr>
        <w:t>(三)近5年完成的类似项目情况表</w:t>
      </w:r>
      <w:bookmarkEnd w:id="1160"/>
    </w:p>
    <w:p>
      <w:pPr>
        <w:pStyle w:val="122"/>
        <w:topLinePunct/>
        <w:spacing w:line="440" w:lineRule="exact"/>
        <w:jc w:val="center"/>
        <w:rPr>
          <w:color w:val="000000"/>
          <w:szCs w:val="21"/>
        </w:rPr>
      </w:pPr>
      <w:r>
        <w:rPr>
          <w:rFonts w:hint="eastAsia"/>
          <w:color w:val="000000"/>
          <w:szCs w:val="21"/>
        </w:rPr>
        <w:t>（近</w:t>
      </w:r>
      <w:r>
        <w:rPr>
          <w:color w:val="000000"/>
          <w:szCs w:val="21"/>
        </w:rPr>
        <w:t>5</w:t>
      </w:r>
      <w:r>
        <w:rPr>
          <w:rFonts w:hint="eastAsia"/>
          <w:color w:val="000000"/>
          <w:szCs w:val="21"/>
        </w:rPr>
        <w:t>年指</w:t>
      </w:r>
      <w:r>
        <w:rPr>
          <w:color w:val="000000"/>
          <w:szCs w:val="21"/>
          <w:u w:val="single"/>
        </w:rPr>
        <w:t xml:space="preserve"> </w:t>
      </w:r>
      <w:r>
        <w:rPr>
          <w:rFonts w:hint="eastAsia"/>
          <w:color w:val="000000"/>
          <w:szCs w:val="21"/>
          <w:u w:val="single"/>
          <w:lang w:val="en-US" w:eastAsia="zh-CN"/>
        </w:rPr>
        <w:t>2019</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u w:val="single"/>
          <w:lang w:val="en-US" w:eastAsia="zh-CN"/>
        </w:rPr>
        <w:t>1</w:t>
      </w:r>
      <w:r>
        <w:rPr>
          <w:color w:val="000000"/>
          <w:szCs w:val="21"/>
          <w:u w:val="single"/>
        </w:rPr>
        <w:t xml:space="preserve">   </w:t>
      </w:r>
      <w:r>
        <w:rPr>
          <w:rFonts w:hint="eastAsia"/>
          <w:color w:val="000000"/>
          <w:szCs w:val="21"/>
        </w:rPr>
        <w:t>月至</w:t>
      </w:r>
      <w:r>
        <w:rPr>
          <w:rFonts w:hint="eastAsia"/>
          <w:color w:val="000000"/>
          <w:szCs w:val="21"/>
          <w:u w:val="single"/>
          <w:lang w:eastAsia="zh-CN"/>
        </w:rPr>
        <w:t>今</w:t>
      </w:r>
      <w:r>
        <w:rPr>
          <w:rFonts w:hint="eastAsia"/>
          <w:color w:val="000000"/>
          <w:szCs w:val="21"/>
        </w:rPr>
        <w:t>）</w:t>
      </w:r>
    </w:p>
    <w:p>
      <w:pPr>
        <w:pStyle w:val="122"/>
        <w:topLinePunct/>
        <w:spacing w:line="440" w:lineRule="exact"/>
        <w:jc w:val="center"/>
        <w:rPr>
          <w:color w:val="000000"/>
          <w:szCs w:val="21"/>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5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合同名称</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合同项目所在地</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发包人名称</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发包人地址</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发包人电话</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签约合同价</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开工日期</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完工日期</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承担的工作</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工程质量</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项目经理</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技术负责人</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监理人和总监理工程师以及电话</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合同项目描述</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both"/>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7" w:type="pct"/>
            <w:tcBorders>
              <w:top w:val="single" w:color="auto" w:sz="4" w:space="0"/>
              <w:left w:val="single" w:color="auto" w:sz="4" w:space="0"/>
              <w:bottom w:val="single" w:color="auto" w:sz="4" w:space="0"/>
              <w:right w:val="single" w:color="auto" w:sz="4" w:space="0"/>
            </w:tcBorders>
            <w:vAlign w:val="center"/>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备注</w:t>
            </w:r>
          </w:p>
        </w:tc>
        <w:tc>
          <w:tcPr>
            <w:tcW w:w="3143" w:type="pct"/>
            <w:tcBorders>
              <w:top w:val="single" w:color="auto" w:sz="4" w:space="0"/>
              <w:left w:val="single" w:color="auto" w:sz="4" w:space="0"/>
              <w:bottom w:val="single" w:color="auto" w:sz="4" w:space="0"/>
              <w:right w:val="single" w:color="auto" w:sz="4" w:space="0"/>
            </w:tcBorders>
          </w:tcPr>
          <w:p>
            <w:pPr>
              <w:pStyle w:val="122"/>
              <w:topLinePunct/>
              <w:spacing w:before="100" w:beforeAutospacing="1" w:after="100" w:afterAutospacing="1" w:line="440" w:lineRule="exact"/>
              <w:jc w:val="center"/>
              <w:rPr>
                <w:rFonts w:ascii="宋体" w:hAnsi="宋体"/>
                <w:color w:val="000000"/>
                <w:szCs w:val="21"/>
              </w:rPr>
            </w:pPr>
            <w:r>
              <w:rPr>
                <w:rFonts w:hint="eastAsia" w:ascii="宋体" w:hAnsi="宋体"/>
                <w:color w:val="000000"/>
                <w:szCs w:val="21"/>
              </w:rPr>
              <w:t>合同项目描述内容至少包括项目概况、本合同在项目中的地位（部位、合同价格所占比例）和</w:t>
            </w:r>
            <w:r>
              <w:rPr>
                <w:rFonts w:hint="eastAsia" w:ascii="Times New Roman" w:hAnsi="Times New Roman" w:cs="Arial"/>
                <w:color w:val="auto"/>
                <w:highlight w:val="none"/>
                <w:lang w:val="en-US" w:eastAsia="zh-CN"/>
              </w:rPr>
              <w:t>工程</w:t>
            </w:r>
            <w:r>
              <w:rPr>
                <w:rFonts w:hint="eastAsia" w:ascii="Times New Roman" w:hAnsi="Times New Roman" w:eastAsia="宋体" w:cs="Arial"/>
                <w:color w:val="auto"/>
                <w:highlight w:val="none"/>
                <w:lang w:val="en-US" w:eastAsia="zh-CN"/>
              </w:rPr>
              <w:t>完工验收</w:t>
            </w:r>
            <w:r>
              <w:rPr>
                <w:rFonts w:hint="eastAsia" w:ascii="Times New Roman" w:hAnsi="Times New Roman" w:cs="Arial"/>
                <w:color w:val="auto"/>
                <w:highlight w:val="none"/>
                <w:lang w:val="en-US" w:eastAsia="zh-CN"/>
              </w:rPr>
              <w:t>证明</w:t>
            </w:r>
            <w:r>
              <w:rPr>
                <w:rFonts w:hint="eastAsia" w:ascii="Times New Roman" w:hAnsi="Times New Roman" w:eastAsia="宋体" w:cs="Arial"/>
                <w:color w:val="auto"/>
                <w:highlight w:val="none"/>
                <w:lang w:val="en-US" w:eastAsia="zh-CN"/>
              </w:rPr>
              <w:t>或竣工</w:t>
            </w:r>
            <w:r>
              <w:rPr>
                <w:rFonts w:hint="eastAsia" w:ascii="Times New Roman" w:hAnsi="Times New Roman" w:cs="Arial"/>
                <w:color w:val="auto"/>
                <w:highlight w:val="none"/>
                <w:lang w:val="en-US" w:eastAsia="zh-CN"/>
              </w:rPr>
              <w:t>验收报告</w:t>
            </w:r>
            <w:r>
              <w:rPr>
                <w:rFonts w:hint="eastAsia" w:ascii="宋体" w:hAnsi="宋体"/>
                <w:color w:val="000000"/>
                <w:szCs w:val="21"/>
              </w:rPr>
              <w:t>验收结论</w:t>
            </w:r>
          </w:p>
        </w:tc>
      </w:tr>
    </w:tbl>
    <w:p>
      <w:pPr>
        <w:pStyle w:val="122"/>
        <w:spacing w:line="400" w:lineRule="exact"/>
        <w:rPr>
          <w:rFonts w:ascii="Times New Roman" w:hAnsi="Times New Roman"/>
          <w:color w:val="000000"/>
          <w:szCs w:val="24"/>
        </w:rPr>
      </w:pPr>
      <w:r>
        <w:rPr>
          <w:rFonts w:hint="eastAsia"/>
          <w:color w:val="000000"/>
        </w:rPr>
        <w:t>注：相关材料复印件在本章“十、原件的复印件”中提供。</w:t>
      </w:r>
    </w:p>
    <w:p>
      <w:pPr>
        <w:pStyle w:val="111"/>
      </w:pPr>
      <w:r>
        <w:t xml:space="preserve">    备注：本表应附材料如下：</w:t>
      </w:r>
    </w:p>
    <w:p>
      <w:pPr>
        <w:pStyle w:val="90"/>
      </w:pPr>
      <w:r>
        <w:t>业绩中标通知书、业绩合同协议书、</w:t>
      </w:r>
      <w:r>
        <w:rPr>
          <w:rFonts w:hint="eastAsia" w:ascii="Times New Roman" w:hAnsi="Times New Roman" w:cs="Arial"/>
          <w:color w:val="auto"/>
          <w:highlight w:val="none"/>
          <w:lang w:val="en-US" w:eastAsia="zh-CN"/>
        </w:rPr>
        <w:t>工程</w:t>
      </w:r>
      <w:r>
        <w:rPr>
          <w:rFonts w:hint="eastAsia" w:ascii="Times New Roman" w:hAnsi="Times New Roman" w:eastAsia="宋体" w:cs="Arial"/>
          <w:color w:val="auto"/>
          <w:highlight w:val="none"/>
          <w:lang w:val="en-US" w:eastAsia="zh-CN"/>
        </w:rPr>
        <w:t>完工验收</w:t>
      </w:r>
      <w:r>
        <w:rPr>
          <w:rFonts w:hint="eastAsia" w:ascii="Times New Roman" w:hAnsi="Times New Roman" w:cs="Arial"/>
          <w:color w:val="auto"/>
          <w:highlight w:val="none"/>
          <w:lang w:val="en-US" w:eastAsia="zh-CN"/>
        </w:rPr>
        <w:t>证明</w:t>
      </w:r>
      <w:r>
        <w:rPr>
          <w:rFonts w:hint="eastAsia" w:ascii="Times New Roman" w:hAnsi="Times New Roman" w:eastAsia="宋体" w:cs="Arial"/>
          <w:color w:val="auto"/>
          <w:highlight w:val="none"/>
          <w:lang w:val="en-US" w:eastAsia="zh-CN"/>
        </w:rPr>
        <w:t>或竣工</w:t>
      </w:r>
      <w:r>
        <w:rPr>
          <w:rFonts w:hint="eastAsia" w:ascii="Times New Roman" w:hAnsi="Times New Roman" w:cs="Arial"/>
          <w:color w:val="auto"/>
          <w:highlight w:val="none"/>
          <w:lang w:val="en-US" w:eastAsia="zh-CN"/>
        </w:rPr>
        <w:t>验收报告</w:t>
      </w:r>
      <w:r>
        <w:rPr>
          <w:rFonts w:hint="eastAsia" w:ascii="Times New Roman" w:hAnsi="Times New Roman" w:eastAsia="宋体" w:cs="Arial"/>
          <w:color w:val="auto"/>
          <w:highlight w:val="none"/>
          <w:lang w:val="en-US" w:eastAsia="zh-CN"/>
        </w:rPr>
        <w:t>为准</w:t>
      </w:r>
    </w:p>
    <w:p>
      <w:pPr>
        <w:pStyle w:val="123"/>
        <w:outlineLvl w:val="2"/>
      </w:pPr>
      <w:r>
        <w:br w:type="page"/>
      </w:r>
      <w:bookmarkStart w:id="1161" w:name="_Toc256000107"/>
      <w:r>
        <w:rPr>
          <w:rFonts w:ascii="黑体" w:hAnsi="黑体" w:eastAsia="黑体" w:cs="黑体"/>
          <w:b/>
          <w:sz w:val="28"/>
        </w:rPr>
        <w:t>(四)正在施工的和新承接的项目情况表</w:t>
      </w:r>
      <w:bookmarkEnd w:id="1161"/>
    </w:p>
    <w:p>
      <w:pPr>
        <w:pStyle w:val="124"/>
        <w:spacing w:line="400" w:lineRule="exact"/>
        <w:rPr>
          <w:color w:val="000000"/>
          <w:szCs w:val="24"/>
        </w:rPr>
      </w:pPr>
    </w:p>
    <w:tbl>
      <w:tblPr>
        <w:tblStyle w:val="3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7"/>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合同名称</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合同项目所在地</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发包人名称</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发包人地址</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发包人电话</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签约合同价</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开工日期</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计划</w:t>
            </w:r>
            <w:r>
              <w:rPr>
                <w:rFonts w:hint="eastAsia" w:ascii="宋体" w:hAnsi="宋体"/>
                <w:color w:val="000000"/>
                <w:sz w:val="24"/>
              </w:rPr>
              <w:t>完工</w:t>
            </w:r>
            <w:r>
              <w:rPr>
                <w:rFonts w:hint="eastAsia" w:ascii="宋体" w:hAnsi="宋体"/>
                <w:color w:val="000000"/>
                <w:sz w:val="24"/>
                <w:szCs w:val="21"/>
              </w:rPr>
              <w:t>日期</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承担的工作</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工程质量</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项目经理</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技术负责人</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监理人和总监理工程师以及电话</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合同项目描述</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p>
          <w:p>
            <w:pPr>
              <w:pStyle w:val="124"/>
              <w:topLinePunct/>
              <w:spacing w:before="100" w:beforeAutospacing="1" w:after="100" w:afterAutospacing="1" w:line="440" w:lineRule="exact"/>
              <w:jc w:val="center"/>
              <w:rPr>
                <w:rFonts w:ascii="宋体" w:hAnsi="宋体"/>
                <w:color w:val="000000"/>
                <w:sz w:val="24"/>
                <w:szCs w:val="21"/>
              </w:rPr>
            </w:pPr>
          </w:p>
          <w:p>
            <w:pPr>
              <w:pStyle w:val="124"/>
              <w:topLinePunct/>
              <w:spacing w:before="100" w:beforeAutospacing="1" w:after="100" w:afterAutospacing="1" w:line="440" w:lineRule="exact"/>
              <w:jc w:val="center"/>
              <w:rPr>
                <w:rFonts w:ascii="宋体" w:hAnsi="宋体"/>
                <w:color w:val="000000"/>
                <w:sz w:val="24"/>
                <w:szCs w:val="21"/>
              </w:rPr>
            </w:pPr>
          </w:p>
          <w:p>
            <w:pPr>
              <w:pStyle w:val="124"/>
              <w:topLinePunct/>
              <w:spacing w:before="100" w:beforeAutospacing="1" w:after="100" w:afterAutospacing="1" w:line="440" w:lineRule="exact"/>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45" w:type="pct"/>
            <w:tcBorders>
              <w:top w:val="single" w:color="auto" w:sz="4" w:space="0"/>
              <w:left w:val="single" w:color="auto" w:sz="4" w:space="0"/>
              <w:bottom w:val="single" w:color="auto" w:sz="4" w:space="0"/>
              <w:right w:val="single" w:color="auto" w:sz="4" w:space="0"/>
            </w:tcBorders>
            <w:vAlign w:val="center"/>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备注</w:t>
            </w:r>
          </w:p>
        </w:tc>
        <w:tc>
          <w:tcPr>
            <w:tcW w:w="2855" w:type="pct"/>
            <w:tcBorders>
              <w:top w:val="single" w:color="auto" w:sz="4" w:space="0"/>
              <w:left w:val="single" w:color="auto" w:sz="4" w:space="0"/>
              <w:bottom w:val="single" w:color="auto" w:sz="4" w:space="0"/>
              <w:right w:val="single" w:color="auto" w:sz="4" w:space="0"/>
            </w:tcBorders>
          </w:tcPr>
          <w:p>
            <w:pPr>
              <w:pStyle w:val="124"/>
              <w:topLinePunct/>
              <w:spacing w:before="100" w:beforeAutospacing="1" w:after="100" w:afterAutospacing="1" w:line="440" w:lineRule="exact"/>
              <w:jc w:val="center"/>
              <w:rPr>
                <w:rFonts w:ascii="宋体" w:hAnsi="宋体"/>
                <w:color w:val="000000"/>
                <w:sz w:val="24"/>
                <w:szCs w:val="21"/>
              </w:rPr>
            </w:pPr>
            <w:r>
              <w:rPr>
                <w:rFonts w:hint="eastAsia" w:ascii="宋体" w:hAnsi="宋体"/>
                <w:color w:val="000000"/>
                <w:sz w:val="24"/>
                <w:szCs w:val="21"/>
              </w:rPr>
              <w:t>合同项目描述内容至少包括项目概况、本合同在项目中的地位（部位、合同价格所占比例）</w:t>
            </w:r>
          </w:p>
        </w:tc>
      </w:tr>
    </w:tbl>
    <w:p>
      <w:pPr>
        <w:pStyle w:val="124"/>
        <w:spacing w:line="400" w:lineRule="exact"/>
        <w:rPr>
          <w:rFonts w:ascii="Times New Roman" w:hAnsi="Times New Roman"/>
          <w:color w:val="000000"/>
        </w:rPr>
      </w:pPr>
      <w:r>
        <w:rPr>
          <w:rFonts w:hint="eastAsia"/>
          <w:color w:val="000000"/>
        </w:rPr>
        <w:t>注：相关材料复印件在本章“十、原件的复印件”中提供。</w:t>
      </w:r>
    </w:p>
    <w:p>
      <w:pPr>
        <w:pStyle w:val="125"/>
        <w:outlineLvl w:val="2"/>
      </w:pPr>
      <w:r>
        <w:br w:type="page"/>
      </w:r>
      <w:bookmarkStart w:id="1162" w:name="_Toc256000108"/>
      <w:r>
        <w:rPr>
          <w:rFonts w:ascii="黑体" w:hAnsi="黑体" w:eastAsia="黑体" w:cs="黑体"/>
          <w:b/>
          <w:sz w:val="28"/>
        </w:rPr>
        <w:t>(五)近3年发生的诉讼及仲裁情况</w:t>
      </w:r>
      <w:bookmarkEnd w:id="1162"/>
    </w:p>
    <w:p>
      <w:pPr>
        <w:pStyle w:val="126"/>
        <w:spacing w:line="400" w:lineRule="exact"/>
        <w:jc w:val="center"/>
        <w:rPr>
          <w:color w:val="000000"/>
          <w:szCs w:val="24"/>
          <w:u w:val="single"/>
        </w:rPr>
      </w:pPr>
      <w:r>
        <w:rPr>
          <w:rFonts w:hint="eastAsia"/>
          <w:color w:val="000000"/>
        </w:rPr>
        <w:t>（近</w:t>
      </w:r>
      <w:r>
        <w:rPr>
          <w:color w:val="000000"/>
        </w:rPr>
        <w:t>3</w:t>
      </w:r>
      <w:r>
        <w:rPr>
          <w:rFonts w:hint="eastAsia"/>
          <w:color w:val="000000"/>
        </w:rPr>
        <w:t>年指</w:t>
      </w:r>
      <w:r>
        <w:rPr>
          <w:color w:val="000000"/>
          <w:u w:val="single"/>
        </w:rPr>
        <w:t xml:space="preserve"> </w:t>
      </w:r>
      <w:r>
        <w:rPr>
          <w:rFonts w:hint="eastAsia"/>
          <w:color w:val="000000"/>
          <w:u w:val="single"/>
          <w:lang w:val="en-US" w:eastAsia="zh-CN"/>
        </w:rPr>
        <w:t>2021</w:t>
      </w:r>
      <w:r>
        <w:rPr>
          <w:color w:val="000000"/>
          <w:u w:val="single"/>
        </w:rPr>
        <w:t xml:space="preserve">   </w:t>
      </w:r>
      <w:r>
        <w:rPr>
          <w:rFonts w:hint="eastAsia"/>
          <w:color w:val="000000"/>
        </w:rPr>
        <w:t>年</w:t>
      </w:r>
      <w:r>
        <w:rPr>
          <w:color w:val="000000"/>
          <w:u w:val="single"/>
        </w:rPr>
        <w:t xml:space="preserve">  </w:t>
      </w:r>
      <w:r>
        <w:rPr>
          <w:rFonts w:hint="eastAsia"/>
          <w:color w:val="000000"/>
          <w:u w:val="single"/>
          <w:lang w:val="en-US" w:eastAsia="zh-CN"/>
        </w:rPr>
        <w:t>1</w:t>
      </w:r>
      <w:r>
        <w:rPr>
          <w:color w:val="000000"/>
          <w:u w:val="single"/>
        </w:rPr>
        <w:t xml:space="preserve">  </w:t>
      </w:r>
      <w:r>
        <w:rPr>
          <w:rFonts w:hint="eastAsia"/>
          <w:color w:val="000000"/>
        </w:rPr>
        <w:t>月至</w:t>
      </w:r>
      <w:r>
        <w:rPr>
          <w:rFonts w:hint="eastAsia"/>
          <w:color w:val="000000"/>
          <w:u w:val="single"/>
          <w:lang w:eastAsia="zh-CN"/>
        </w:rPr>
        <w:t>今</w:t>
      </w:r>
      <w:r>
        <w:rPr>
          <w:rFonts w:hint="eastAsia"/>
          <w:color w:val="000000"/>
        </w:rPr>
        <w:t>）</w:t>
      </w:r>
    </w:p>
    <w:p>
      <w:pPr>
        <w:pStyle w:val="126"/>
        <w:spacing w:line="400" w:lineRule="exact"/>
        <w:rPr>
          <w:color w:val="000000"/>
        </w:rPr>
      </w:pPr>
    </w:p>
    <w:tbl>
      <w:tblPr>
        <w:tblStyle w:val="36"/>
        <w:tblW w:w="81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866"/>
        <w:gridCol w:w="2277"/>
        <w:gridCol w:w="1133"/>
        <w:gridCol w:w="101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序号</w:t>
            </w: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诉讼及仲裁内容</w:t>
            </w: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诉讼及仲裁中的地位</w:t>
            </w: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缘由</w:t>
            </w: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结果</w:t>
            </w: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一</w:t>
            </w: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诉讼事项</w:t>
            </w: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二</w:t>
            </w: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r>
              <w:rPr>
                <w:rFonts w:hint="eastAsia"/>
                <w:color w:val="000000"/>
              </w:rPr>
              <w:t>仲裁事项</w:t>
            </w: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2277"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26"/>
              <w:spacing w:line="400" w:lineRule="exact"/>
              <w:jc w:val="center"/>
              <w:rPr>
                <w:color w:val="000000"/>
                <w:szCs w:val="24"/>
              </w:rPr>
            </w:pPr>
          </w:p>
        </w:tc>
      </w:tr>
    </w:tbl>
    <w:p>
      <w:pPr>
        <w:pStyle w:val="126"/>
        <w:rPr>
          <w:rFonts w:ascii="Arial" w:hAnsi="Arial" w:eastAsia="黑体"/>
          <w:color w:val="000000"/>
          <w:szCs w:val="21"/>
        </w:rPr>
      </w:pPr>
    </w:p>
    <w:p>
      <w:pPr>
        <w:pStyle w:val="126"/>
        <w:spacing w:line="400" w:lineRule="exact"/>
        <w:rPr>
          <w:rFonts w:ascii="Times New Roman" w:hAnsi="Times New Roman"/>
          <w:color w:val="000000"/>
          <w:szCs w:val="24"/>
        </w:rPr>
      </w:pPr>
      <w:r>
        <w:rPr>
          <w:rFonts w:hint="eastAsia"/>
          <w:color w:val="000000"/>
        </w:rPr>
        <w:t>注：相关材料复印件在本章“十、原件的复印件”中提供。</w:t>
      </w:r>
    </w:p>
    <w:p>
      <w:pPr>
        <w:pStyle w:val="127"/>
        <w:outlineLvl w:val="2"/>
      </w:pPr>
      <w:r>
        <w:br w:type="page"/>
      </w:r>
      <w:bookmarkStart w:id="1163" w:name="_Toc256000109"/>
      <w:r>
        <w:rPr>
          <w:rFonts w:ascii="黑体" w:hAnsi="黑体" w:eastAsia="黑体" w:cs="黑体"/>
          <w:b/>
          <w:sz w:val="28"/>
        </w:rPr>
        <w:t>(六)资格审查自审表</w:t>
      </w:r>
      <w:bookmarkEnd w:id="1163"/>
    </w:p>
    <w:p>
      <w:pPr>
        <w:pStyle w:val="128"/>
        <w:outlineLvl w:val="2"/>
        <w:rPr>
          <w:rFonts w:eastAsia="宋体" w:cs="Times New Roman"/>
          <w:color w:val="000000"/>
          <w:sz w:val="21"/>
          <w:szCs w:val="24"/>
        </w:rPr>
      </w:pPr>
      <w:bookmarkStart w:id="1164" w:name="_Toc256000110"/>
      <w:r>
        <w:rPr>
          <w:rFonts w:hint="eastAsia"/>
          <w:color w:val="000000"/>
          <w:sz w:val="24"/>
          <w:szCs w:val="24"/>
        </w:rPr>
        <w:t>（六）、资格审查自审表</w:t>
      </w:r>
      <w:bookmarkEnd w:id="1164"/>
    </w:p>
    <w:p>
      <w:pPr>
        <w:pStyle w:val="130"/>
        <w:spacing w:line="400" w:lineRule="exact"/>
        <w:rPr>
          <w:b/>
          <w:color w:val="000000"/>
        </w:rPr>
      </w:pPr>
    </w:p>
    <w:tbl>
      <w:tblPr>
        <w:tblStyle w:val="36"/>
        <w:tblW w:w="895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140"/>
        <w:gridCol w:w="1260"/>
        <w:gridCol w:w="108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20" w:type="dxa"/>
            <w:vAlign w:val="center"/>
          </w:tcPr>
          <w:p>
            <w:pPr>
              <w:pStyle w:val="130"/>
              <w:topLinePunct/>
              <w:spacing w:line="440" w:lineRule="exact"/>
              <w:jc w:val="center"/>
              <w:rPr>
                <w:color w:val="000000"/>
                <w:szCs w:val="21"/>
              </w:rPr>
            </w:pPr>
            <w:r>
              <w:rPr>
                <w:rFonts w:hint="eastAsia"/>
                <w:color w:val="000000"/>
                <w:szCs w:val="21"/>
              </w:rPr>
              <w:t>序号</w:t>
            </w:r>
          </w:p>
        </w:tc>
        <w:tc>
          <w:tcPr>
            <w:tcW w:w="4140" w:type="dxa"/>
            <w:vAlign w:val="center"/>
          </w:tcPr>
          <w:p>
            <w:pPr>
              <w:pStyle w:val="130"/>
              <w:topLinePunct/>
              <w:spacing w:line="440" w:lineRule="exact"/>
              <w:jc w:val="center"/>
              <w:rPr>
                <w:color w:val="000000"/>
                <w:szCs w:val="21"/>
              </w:rPr>
            </w:pPr>
            <w:r>
              <w:rPr>
                <w:rFonts w:hint="eastAsia"/>
                <w:color w:val="000000"/>
                <w:szCs w:val="21"/>
              </w:rPr>
              <w:t>审查因素</w:t>
            </w:r>
          </w:p>
        </w:tc>
        <w:tc>
          <w:tcPr>
            <w:tcW w:w="1260" w:type="dxa"/>
            <w:vAlign w:val="center"/>
          </w:tcPr>
          <w:p>
            <w:pPr>
              <w:pStyle w:val="130"/>
              <w:topLinePunct/>
              <w:spacing w:line="440" w:lineRule="exact"/>
              <w:jc w:val="center"/>
              <w:rPr>
                <w:color w:val="000000"/>
                <w:szCs w:val="21"/>
              </w:rPr>
            </w:pPr>
            <w:r>
              <w:rPr>
                <w:rFonts w:hint="eastAsia"/>
                <w:color w:val="000000"/>
                <w:szCs w:val="21"/>
              </w:rPr>
              <w:t>审查标准</w:t>
            </w:r>
          </w:p>
        </w:tc>
        <w:tc>
          <w:tcPr>
            <w:tcW w:w="1080" w:type="dxa"/>
            <w:vAlign w:val="center"/>
          </w:tcPr>
          <w:p>
            <w:pPr>
              <w:pStyle w:val="130"/>
              <w:topLinePunct/>
              <w:spacing w:line="440" w:lineRule="exact"/>
              <w:jc w:val="center"/>
              <w:rPr>
                <w:color w:val="000000"/>
                <w:szCs w:val="21"/>
              </w:rPr>
            </w:pPr>
            <w:r>
              <w:rPr>
                <w:rFonts w:hint="eastAsia"/>
                <w:color w:val="000000"/>
                <w:szCs w:val="21"/>
              </w:rPr>
              <w:t>审查结果</w:t>
            </w:r>
          </w:p>
        </w:tc>
        <w:tc>
          <w:tcPr>
            <w:tcW w:w="1758" w:type="dxa"/>
            <w:vAlign w:val="center"/>
          </w:tcPr>
          <w:p>
            <w:pPr>
              <w:pStyle w:val="130"/>
              <w:topLinePunct/>
              <w:spacing w:line="440" w:lineRule="exact"/>
              <w:jc w:val="center"/>
              <w:rPr>
                <w:color w:val="000000"/>
                <w:szCs w:val="21"/>
              </w:rPr>
            </w:pPr>
            <w:r>
              <w:rPr>
                <w:rFonts w:hint="eastAsia"/>
                <w:color w:val="000000"/>
                <w:szCs w:val="21"/>
              </w:rPr>
              <w:t>引用的证明</w:t>
            </w:r>
          </w:p>
          <w:p>
            <w:pPr>
              <w:pStyle w:val="130"/>
              <w:topLinePunct/>
              <w:spacing w:line="440" w:lineRule="exact"/>
              <w:jc w:val="center"/>
              <w:rPr>
                <w:color w:val="000000"/>
                <w:szCs w:val="21"/>
              </w:rPr>
            </w:pPr>
            <w:r>
              <w:rPr>
                <w:rFonts w:hint="eastAsia"/>
                <w:color w:val="000000"/>
                <w:szCs w:val="21"/>
              </w:rPr>
              <w:t>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营业执照</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安全生产许可证</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资质证书及等级</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财务状况</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类似项目业绩</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信誉</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项目经理资格</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联合体协议书</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企业主要负责人安全生产考核合格证书</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技术负责人资格</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rFonts w:hint="eastAsia"/>
                <w:color w:val="000000"/>
                <w:szCs w:val="21"/>
              </w:rPr>
              <w:t>委托代理人、安全管理人员（专职安全生产管理人员）、质量管理人员、财务负责人</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r>
              <w:rPr>
                <w:color w:val="000000"/>
                <w:szCs w:val="21"/>
              </w:rPr>
              <w:t>……</w:t>
            </w: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pStyle w:val="130"/>
              <w:topLinePunct/>
              <w:spacing w:line="440" w:lineRule="exact"/>
              <w:jc w:val="center"/>
              <w:rPr>
                <w:color w:val="000000"/>
                <w:szCs w:val="21"/>
              </w:rPr>
            </w:pPr>
          </w:p>
        </w:tc>
        <w:tc>
          <w:tcPr>
            <w:tcW w:w="4140" w:type="dxa"/>
            <w:vAlign w:val="center"/>
          </w:tcPr>
          <w:p>
            <w:pPr>
              <w:pStyle w:val="130"/>
              <w:topLinePunct/>
              <w:spacing w:line="440" w:lineRule="exact"/>
              <w:rPr>
                <w:color w:val="000000"/>
                <w:szCs w:val="21"/>
              </w:rPr>
            </w:pPr>
          </w:p>
        </w:tc>
        <w:tc>
          <w:tcPr>
            <w:tcW w:w="1260" w:type="dxa"/>
            <w:vAlign w:val="center"/>
          </w:tcPr>
          <w:p>
            <w:pPr>
              <w:pStyle w:val="130"/>
              <w:topLinePunct/>
              <w:spacing w:line="440" w:lineRule="exact"/>
              <w:jc w:val="center"/>
              <w:rPr>
                <w:color w:val="000000"/>
                <w:szCs w:val="21"/>
              </w:rPr>
            </w:pPr>
          </w:p>
        </w:tc>
        <w:tc>
          <w:tcPr>
            <w:tcW w:w="1080" w:type="dxa"/>
            <w:vAlign w:val="center"/>
          </w:tcPr>
          <w:p>
            <w:pPr>
              <w:pStyle w:val="130"/>
              <w:topLinePunct/>
              <w:spacing w:line="440" w:lineRule="exact"/>
              <w:jc w:val="center"/>
              <w:rPr>
                <w:color w:val="000000"/>
                <w:szCs w:val="21"/>
              </w:rPr>
            </w:pPr>
          </w:p>
        </w:tc>
        <w:tc>
          <w:tcPr>
            <w:tcW w:w="1758" w:type="dxa"/>
            <w:vAlign w:val="center"/>
          </w:tcPr>
          <w:p>
            <w:pPr>
              <w:pStyle w:val="130"/>
              <w:topLinePunct/>
              <w:spacing w:line="440" w:lineRule="exact"/>
              <w:jc w:val="center"/>
              <w:rPr>
                <w:color w:val="000000"/>
                <w:szCs w:val="21"/>
              </w:rPr>
            </w:pPr>
          </w:p>
        </w:tc>
      </w:tr>
    </w:tbl>
    <w:p>
      <w:pPr>
        <w:pStyle w:val="130"/>
        <w:rPr>
          <w:color w:val="000000"/>
        </w:rPr>
      </w:pPr>
    </w:p>
    <w:p>
      <w:pPr>
        <w:pStyle w:val="132"/>
        <w:outlineLvl w:val="1"/>
      </w:pPr>
      <w:r>
        <w:br w:type="page"/>
      </w:r>
      <w:bookmarkStart w:id="1165" w:name="_Toc256000111"/>
      <w:r>
        <w:rPr>
          <w:rFonts w:ascii="黑体" w:hAnsi="黑体" w:eastAsia="黑体" w:cs="黑体"/>
          <w:b/>
          <w:sz w:val="32"/>
        </w:rPr>
        <w:t>九、原件的复印件</w:t>
      </w:r>
      <w:bookmarkEnd w:id="1165"/>
    </w:p>
    <w:p>
      <w:pPr>
        <w:pStyle w:val="133"/>
        <w:jc w:val="center"/>
        <w:rPr>
          <w:rFonts w:ascii="黑体" w:hAnsi="黑体" w:eastAsia="黑体"/>
          <w:b/>
          <w:sz w:val="30"/>
          <w:szCs w:val="30"/>
          <w:highlight w:val="none"/>
        </w:rPr>
      </w:pPr>
      <w:r>
        <w:rPr>
          <w:rFonts w:hint="eastAsia" w:ascii="黑体" w:hAnsi="黑体" w:eastAsia="黑体"/>
          <w:b/>
          <w:sz w:val="30"/>
          <w:szCs w:val="30"/>
          <w:highlight w:val="none"/>
        </w:rPr>
        <w:t>原件的复印件</w:t>
      </w:r>
    </w:p>
    <w:p>
      <w:pPr>
        <w:pStyle w:val="133"/>
        <w:rPr>
          <w:color w:val="000000"/>
          <w:szCs w:val="24"/>
        </w:rPr>
      </w:pPr>
    </w:p>
    <w:tbl>
      <w:tblPr>
        <w:tblStyle w:val="3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5397"/>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r>
              <w:rPr>
                <w:rFonts w:hint="eastAsia" w:ascii="宋体"/>
                <w:color w:val="000000"/>
                <w:kern w:val="0"/>
                <w:szCs w:val="21"/>
              </w:rPr>
              <w:t>序号</w:t>
            </w: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r>
              <w:rPr>
                <w:rFonts w:hint="eastAsia" w:ascii="宋体"/>
                <w:color w:val="000000"/>
                <w:kern w:val="0"/>
                <w:szCs w:val="21"/>
              </w:rPr>
              <w:t>名称</w:t>
            </w: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r>
              <w:rPr>
                <w:rFonts w:hint="eastAsia" w:ascii="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c>
          <w:tcPr>
            <w:tcW w:w="5938"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rPr>
                <w:rFonts w:ascii="宋体"/>
                <w:color w:val="000000"/>
                <w:kern w:val="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33"/>
              <w:autoSpaceDE w:val="0"/>
              <w:autoSpaceDN w:val="0"/>
              <w:adjustRightInd w:val="0"/>
              <w:jc w:val="center"/>
              <w:rPr>
                <w:rFonts w:ascii="宋体"/>
                <w:color w:val="000000"/>
                <w:kern w:val="0"/>
                <w:szCs w:val="21"/>
              </w:rPr>
            </w:pPr>
          </w:p>
        </w:tc>
      </w:tr>
    </w:tbl>
    <w:p>
      <w:pPr>
        <w:pStyle w:val="134"/>
        <w:jc w:val="center"/>
        <w:outlineLvl w:val="1"/>
      </w:pPr>
      <w:r>
        <w:br w:type="page"/>
      </w:r>
      <w:bookmarkStart w:id="1166" w:name="_Toc256000112"/>
      <w:r>
        <w:rPr>
          <w:rFonts w:ascii="黑体" w:hAnsi="黑体" w:eastAsia="黑体" w:cs="黑体"/>
          <w:b/>
          <w:sz w:val="32"/>
        </w:rPr>
        <w:t>十、投标人告知承诺书</w:t>
      </w:r>
      <w:bookmarkEnd w:id="1166"/>
    </w:p>
    <w:p>
      <w:pPr>
        <w:pStyle w:val="135"/>
        <w:spacing w:line="560" w:lineRule="exact"/>
        <w:jc w:val="center"/>
        <w:rPr>
          <w:rFonts w:eastAsia="方正小标宋简体" w:cs="方正小标宋简体"/>
          <w:sz w:val="44"/>
          <w:szCs w:val="44"/>
        </w:rPr>
      </w:pPr>
      <w:r>
        <w:rPr>
          <w:rFonts w:hint="eastAsia" w:eastAsia="方正小标宋简体" w:cs="方正小标宋简体"/>
          <w:sz w:val="30"/>
          <w:szCs w:val="30"/>
        </w:rPr>
        <w:t>投标人告知承诺函</w:t>
      </w:r>
    </w:p>
    <w:p>
      <w:pPr>
        <w:spacing w:line="480" w:lineRule="exact"/>
        <w:rPr>
          <w:rFonts w:ascii="仿宋_GB2312" w:eastAsia="仿宋_GB2312"/>
          <w:sz w:val="30"/>
          <w:szCs w:val="30"/>
          <w:u w:val="single"/>
        </w:rPr>
      </w:pPr>
    </w:p>
    <w:p>
      <w:pPr>
        <w:spacing w:line="580" w:lineRule="exact"/>
        <w:rPr>
          <w:rFonts w:ascii="仿宋_GB2312" w:eastAsia="仿宋_GB2312"/>
          <w:sz w:val="24"/>
          <w:szCs w:val="24"/>
          <w:u w:val="single"/>
        </w:rPr>
      </w:pPr>
      <w:r>
        <w:rPr>
          <w:rFonts w:hint="eastAsia" w:ascii="仿宋_GB2312" w:eastAsia="仿宋_GB2312"/>
          <w:sz w:val="24"/>
          <w:szCs w:val="24"/>
          <w:u w:val="single"/>
        </w:rPr>
        <w:t>招标人名称、行政监管部门：</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我单位参与</w:t>
      </w:r>
      <w:r>
        <w:rPr>
          <w:rFonts w:hint="eastAsia" w:ascii="仿宋_GB2312" w:eastAsia="仿宋_GB2312"/>
          <w:sz w:val="24"/>
          <w:szCs w:val="24"/>
          <w:u w:val="single"/>
        </w:rPr>
        <w:t xml:space="preserve">  （招标项目名称）   </w:t>
      </w:r>
      <w:r>
        <w:rPr>
          <w:rFonts w:hint="eastAsia" w:ascii="仿宋_GB2312" w:eastAsia="仿宋_GB2312"/>
          <w:sz w:val="24"/>
          <w:szCs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一、我单位和我本人遵循公开、公平、公正、诚实守信的原则，依法依规参与本项目投标。</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二、我单位具有参与本次投标的资质和能力，公司运营状况良好，不存在挂靠投标、不“受让、租借、出租、出借”资格或资质证书，无处罚期内的不良行为等。</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三、我单位在本项目投标过程中从招标公告/投标邀请书列明的渠道获取招标文件，没有通过其他不正当渠道获取招标文件。</w:t>
      </w:r>
    </w:p>
    <w:p>
      <w:pPr>
        <w:spacing w:line="580" w:lineRule="exact"/>
        <w:rPr>
          <w:rFonts w:ascii="仿宋_GB2312" w:eastAsia="仿宋_GB2312"/>
          <w:sz w:val="24"/>
          <w:szCs w:val="24"/>
        </w:rPr>
      </w:pPr>
      <w:r>
        <w:rPr>
          <w:rFonts w:hint="eastAsia" w:ascii="仿宋_GB2312" w:eastAsia="仿宋_GB2312"/>
          <w:sz w:val="24"/>
          <w:szCs w:val="24"/>
        </w:rPr>
        <w:t xml:space="preserve">    四、我单位承诺投标文件由本单位员工独立编制，严格遵守保密义务。所提供的一切投标相关材料都是真实、有效、合法的。</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五、我单位不与其他投标人相互串通投标报价，不恶意压低或抬高投标报价，不排挤其他投标人的公平竞争，不损害招标人或其他投标人的合法权益。</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六、我单位不与招标人或招标代理机构串通投标，损害国家利益、社会公共利益或者他人的合法权益;</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七、我单位不向招标人或者评标委员会成员行贿以牟取中标，不在开标后进行虚假恶意投诉。</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八、我单位和我个人清楚并知晓《中华人民共和国刑法》第二百二十三条“投标人相互串通投标报价，损害招标人或者其他投标人利益，情节严重的，处三年以下有期徒刑或者拘役，并 处或者单处罚金。投标人与招标人串通投标，损害国家、集体、公民的合法利益的，依照前款的规定处罚”的规定。</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九、我单位如在本项目招标投标活动评标工作中存在串通投标、弄虚作假等行为的，本单位及本人自愿承担法律责任，接受相应刑事、纪律和行政处罚以及失信惩戒。</w:t>
      </w:r>
    </w:p>
    <w:p>
      <w:pPr>
        <w:spacing w:line="580" w:lineRule="exact"/>
        <w:ind w:firstLine="480" w:firstLineChars="200"/>
        <w:rPr>
          <w:rFonts w:ascii="仿宋_GB2312" w:eastAsia="仿宋_GB2312"/>
          <w:sz w:val="24"/>
          <w:szCs w:val="24"/>
        </w:rPr>
      </w:pPr>
      <w:r>
        <w:rPr>
          <w:rFonts w:hint="eastAsia" w:ascii="仿宋_GB2312" w:eastAsia="仿宋_GB2312"/>
          <w:sz w:val="24"/>
          <w:szCs w:val="24"/>
        </w:rPr>
        <w:t>十、本承诺函由我单位盖章及法定代表（授权委托人）人本人亲自签字确认。</w:t>
      </w:r>
    </w:p>
    <w:p>
      <w:pPr>
        <w:spacing w:line="580" w:lineRule="exact"/>
        <w:ind w:firstLine="480" w:firstLineChars="200"/>
        <w:rPr>
          <w:rFonts w:ascii="仿宋_GB2312" w:eastAsia="仿宋_GB2312"/>
          <w:sz w:val="24"/>
          <w:szCs w:val="24"/>
          <w:shd w:val="clear" w:color="auto" w:fill="FFFFFF"/>
        </w:rPr>
      </w:pPr>
    </w:p>
    <w:p>
      <w:pPr>
        <w:spacing w:line="580" w:lineRule="exact"/>
        <w:ind w:firstLine="480" w:firstLineChars="200"/>
        <w:rPr>
          <w:rFonts w:ascii="仿宋_GB2312" w:eastAsia="仿宋_GB2312"/>
          <w:sz w:val="24"/>
          <w:szCs w:val="24"/>
          <w:shd w:val="clear" w:color="auto" w:fill="FFFFFF"/>
        </w:rPr>
      </w:pPr>
    </w:p>
    <w:p>
      <w:pPr>
        <w:spacing w:line="580" w:lineRule="exact"/>
        <w:ind w:firstLine="360" w:firstLineChars="150"/>
        <w:rPr>
          <w:rFonts w:ascii="仿宋_GB2312" w:eastAsia="仿宋_GB2312"/>
          <w:sz w:val="24"/>
          <w:szCs w:val="24"/>
        </w:rPr>
      </w:pPr>
      <w:r>
        <w:rPr>
          <w:rFonts w:hint="eastAsia" w:ascii="仿宋_GB2312" w:eastAsia="仿宋_GB2312"/>
          <w:sz w:val="24"/>
          <w:szCs w:val="24"/>
        </w:rPr>
        <w:t xml:space="preserve">承诺单位：   </w:t>
      </w:r>
      <w:r>
        <w:rPr>
          <w:rFonts w:ascii="仿宋_GB2312" w:eastAsia="仿宋_GB2312"/>
          <w:sz w:val="24"/>
          <w:szCs w:val="24"/>
        </w:rPr>
        <w:t xml:space="preserve">  </w:t>
      </w:r>
      <w:r>
        <w:rPr>
          <w:rFonts w:hint="eastAsia" w:ascii="仿宋_GB2312" w:eastAsia="仿宋_GB2312"/>
          <w:sz w:val="24"/>
          <w:szCs w:val="24"/>
        </w:rPr>
        <w:t>（盖单位公章）</w:t>
      </w:r>
    </w:p>
    <w:p>
      <w:pPr>
        <w:spacing w:line="580" w:lineRule="exact"/>
        <w:rPr>
          <w:rFonts w:ascii="仿宋_GB2312" w:eastAsia="仿宋_GB2312"/>
          <w:sz w:val="24"/>
          <w:szCs w:val="24"/>
        </w:rPr>
      </w:pPr>
    </w:p>
    <w:p>
      <w:pPr>
        <w:spacing w:line="580" w:lineRule="exact"/>
        <w:ind w:firstLine="360" w:firstLineChars="150"/>
        <w:rPr>
          <w:rFonts w:ascii="仿宋_GB2312" w:eastAsia="仿宋_GB2312"/>
          <w:sz w:val="24"/>
          <w:szCs w:val="24"/>
        </w:rPr>
      </w:pPr>
      <w:r>
        <w:rPr>
          <w:rFonts w:hint="eastAsia" w:ascii="仿宋_GB2312" w:eastAsia="仿宋_GB2312"/>
          <w:sz w:val="24"/>
          <w:szCs w:val="24"/>
        </w:rPr>
        <w:t xml:space="preserve">法定代表人（授权委托人）：     </w:t>
      </w:r>
      <w:r>
        <w:rPr>
          <w:rFonts w:ascii="仿宋_GB2312" w:eastAsia="仿宋_GB2312"/>
          <w:sz w:val="24"/>
          <w:szCs w:val="24"/>
        </w:rPr>
        <w:t xml:space="preserve">   </w:t>
      </w:r>
      <w:r>
        <w:rPr>
          <w:rFonts w:hint="eastAsia" w:ascii="仿宋_GB2312" w:eastAsia="仿宋_GB2312"/>
          <w:sz w:val="24"/>
          <w:szCs w:val="24"/>
        </w:rPr>
        <w:t>（签字）</w:t>
      </w:r>
    </w:p>
    <w:p>
      <w:pPr>
        <w:spacing w:line="580" w:lineRule="exact"/>
        <w:rPr>
          <w:rFonts w:ascii="仿宋_GB2312" w:eastAsia="仿宋_GB2312"/>
          <w:sz w:val="24"/>
          <w:szCs w:val="24"/>
        </w:rPr>
      </w:pPr>
    </w:p>
    <w:p>
      <w:pPr>
        <w:spacing w:line="580" w:lineRule="exact"/>
        <w:rPr>
          <w:rFonts w:ascii="仿宋_GB2312" w:eastAsia="仿宋_GB2312"/>
          <w:sz w:val="24"/>
          <w:szCs w:val="24"/>
        </w:rPr>
      </w:pPr>
    </w:p>
    <w:p>
      <w:pPr>
        <w:spacing w:line="580" w:lineRule="exact"/>
        <w:ind w:right="640"/>
        <w:jc w:val="right"/>
        <w:rPr>
          <w:rFonts w:hint="eastAsia" w:ascii="仿宋_GB2312" w:eastAsia="仿宋_GB2312"/>
          <w:sz w:val="24"/>
          <w:szCs w:val="24"/>
        </w:rPr>
      </w:pPr>
      <w:r>
        <w:rPr>
          <w:rFonts w:hint="eastAsia" w:ascii="仿宋_GB2312" w:eastAsia="仿宋_GB2312"/>
          <w:sz w:val="24"/>
          <w:szCs w:val="24"/>
        </w:rPr>
        <w:t xml:space="preserve">承诺时间： </w:t>
      </w:r>
      <w:r>
        <w:rPr>
          <w:rFonts w:ascii="仿宋_GB2312" w:eastAsia="仿宋_GB2312"/>
          <w:sz w:val="24"/>
          <w:szCs w:val="24"/>
        </w:rPr>
        <w:t xml:space="preserve">   </w:t>
      </w:r>
      <w:r>
        <w:rPr>
          <w:rFonts w:hint="eastAsia" w:ascii="仿宋_GB2312" w:eastAsia="仿宋_GB2312"/>
          <w:sz w:val="24"/>
          <w:szCs w:val="24"/>
        </w:rPr>
        <w:t xml:space="preserve">年  </w:t>
      </w:r>
      <w:r>
        <w:rPr>
          <w:rFonts w:ascii="仿宋_GB2312" w:eastAsia="仿宋_GB2312"/>
          <w:sz w:val="24"/>
          <w:szCs w:val="24"/>
        </w:rPr>
        <w:t xml:space="preserve">  </w:t>
      </w:r>
      <w:r>
        <w:rPr>
          <w:rFonts w:hint="eastAsia" w:ascii="仿宋_GB2312" w:eastAsia="仿宋_GB2312"/>
          <w:sz w:val="24"/>
          <w:szCs w:val="24"/>
        </w:rPr>
        <w:t>月  日</w:t>
      </w:r>
    </w:p>
    <w:p>
      <w:pPr>
        <w:pStyle w:val="135"/>
        <w:spacing w:line="560" w:lineRule="exact"/>
        <w:rPr>
          <w:rFonts w:eastAsia="仿宋_GB2312"/>
          <w:sz w:val="24"/>
          <w:szCs w:val="24"/>
        </w:rPr>
      </w:pPr>
    </w:p>
    <w:p>
      <w:pPr>
        <w:pStyle w:val="135"/>
        <w:spacing w:line="560" w:lineRule="exact"/>
        <w:rPr>
          <w:rFonts w:eastAsia="仿宋_GB2312"/>
          <w:sz w:val="24"/>
          <w:szCs w:val="24"/>
        </w:rPr>
      </w:pPr>
    </w:p>
    <w:p>
      <w:pPr>
        <w:pStyle w:val="135"/>
        <w:spacing w:line="500" w:lineRule="exact"/>
        <w:rPr>
          <w:rFonts w:eastAsia="仿宋_GB2312"/>
          <w:sz w:val="28"/>
          <w:szCs w:val="28"/>
        </w:rPr>
      </w:pPr>
    </w:p>
    <w:p>
      <w:pPr>
        <w:pStyle w:val="135"/>
        <w:spacing w:line="500" w:lineRule="exact"/>
        <w:rPr>
          <w:rFonts w:eastAsia="仿宋_GB2312"/>
          <w:sz w:val="28"/>
          <w:szCs w:val="28"/>
        </w:rPr>
      </w:pPr>
    </w:p>
    <w:p>
      <w:pPr>
        <w:pStyle w:val="135"/>
        <w:spacing w:line="480" w:lineRule="auto"/>
        <w:rPr>
          <w:rFonts w:ascii="宋体" w:hAnsi="宋体" w:cs="宋体"/>
          <w:szCs w:val="24"/>
        </w:rPr>
      </w:pPr>
    </w:p>
    <w:p>
      <w:pPr>
        <w:pStyle w:val="136"/>
        <w:outlineLvl w:val="1"/>
      </w:pPr>
    </w:p>
    <w:p>
      <w:pPr>
        <w:pStyle w:val="136"/>
        <w:outlineLvl w:val="1"/>
      </w:pPr>
    </w:p>
    <w:p>
      <w:pPr>
        <w:pStyle w:val="136"/>
        <w:outlineLvl w:val="1"/>
      </w:pPr>
    </w:p>
    <w:p>
      <w:pPr>
        <w:pStyle w:val="136"/>
        <w:outlineLvl w:val="1"/>
      </w:pPr>
    </w:p>
    <w:p>
      <w:pPr>
        <w:pStyle w:val="136"/>
        <w:outlineLvl w:val="1"/>
      </w:pPr>
    </w:p>
    <w:p>
      <w:pPr>
        <w:pStyle w:val="136"/>
        <w:outlineLvl w:val="1"/>
      </w:pPr>
    </w:p>
    <w:p>
      <w:pPr>
        <w:pStyle w:val="48"/>
        <w:jc w:val="center"/>
        <w:rPr>
          <w:rFonts w:hint="eastAsia" w:ascii="黑体" w:hAnsi="黑体" w:eastAsia="黑体" w:cs="黑体"/>
          <w:b/>
          <w:bCs w:val="0"/>
          <w:sz w:val="32"/>
          <w:szCs w:val="24"/>
          <w:lang w:val="en-US" w:eastAsia="zh-CN" w:bidi="ar-SA"/>
        </w:rPr>
      </w:pPr>
      <w:r>
        <w:rPr>
          <w:rFonts w:hint="eastAsia" w:ascii="黑体" w:hAnsi="黑体" w:eastAsia="黑体" w:cs="黑体"/>
          <w:b/>
          <w:bCs w:val="0"/>
          <w:sz w:val="32"/>
          <w:szCs w:val="24"/>
          <w:lang w:val="en-US" w:eastAsia="zh-CN" w:bidi="ar-SA"/>
        </w:rPr>
        <w:t>十一、项目经理无在建项目承诺书</w:t>
      </w:r>
    </w:p>
    <w:p>
      <w:pPr>
        <w:pStyle w:val="33"/>
        <w:widowControl/>
        <w:spacing w:before="330" w:beforeAutospacing="0" w:after="0" w:afterAutospacing="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w:t>
      </w:r>
    </w:p>
    <w:p>
      <w:pPr>
        <w:pStyle w:val="33"/>
        <w:widowControl/>
        <w:spacing w:before="330" w:beforeAutospacing="0" w:after="0" w:afterAutospacing="0"/>
        <w:rPr>
          <w:rFonts w:hint="eastAsia" w:ascii="宋体" w:hAnsi="宋体" w:eastAsia="宋体" w:cs="宋体"/>
          <w:color w:val="auto"/>
          <w:sz w:val="21"/>
          <w:szCs w:val="21"/>
          <w:highlight w:val="none"/>
          <w:shd w:val="clear" w:color="auto" w:fill="FFFFFF"/>
        </w:rPr>
      </w:pPr>
    </w:p>
    <w:p>
      <w:pPr>
        <w:pStyle w:val="33"/>
        <w:widowControl/>
        <w:spacing w:before="33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u w:val="single"/>
          <w:shd w:val="clear" w:color="auto" w:fill="FFFFFF"/>
        </w:rPr>
        <w:t xml:space="preserve">            （招标人名称）</w:t>
      </w:r>
      <w:r>
        <w:rPr>
          <w:rFonts w:hint="eastAsia" w:ascii="宋体" w:hAnsi="宋体" w:eastAsia="宋体" w:cs="宋体"/>
          <w:color w:val="auto"/>
          <w:sz w:val="21"/>
          <w:szCs w:val="21"/>
          <w:highlight w:val="none"/>
          <w:shd w:val="clear" w:color="auto" w:fill="FFFFFF"/>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我方在此声明，我方拟派往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w:t>
      </w:r>
      <w:r>
        <w:rPr>
          <w:rFonts w:hint="eastAsia" w:ascii="宋体" w:hAnsi="宋体" w:eastAsia="宋体" w:cs="宋体"/>
          <w:color w:val="auto"/>
          <w:szCs w:val="21"/>
          <w:highlight w:val="none"/>
          <w:shd w:val="clear" w:color="auto" w:fill="FFFFFF"/>
        </w:rPr>
        <w:t>的项目经理</w:t>
      </w:r>
      <w:r>
        <w:rPr>
          <w:rFonts w:hint="eastAsia" w:ascii="宋体" w:hAnsi="宋体" w:eastAsia="宋体" w:cs="宋体"/>
          <w:color w:val="auto"/>
          <w:szCs w:val="21"/>
          <w:highlight w:val="none"/>
          <w:u w:val="single"/>
          <w:shd w:val="clear" w:color="auto" w:fill="FFFFFF"/>
        </w:rPr>
        <w:t>        </w:t>
      </w:r>
      <w:r>
        <w:rPr>
          <w:rFonts w:hint="eastAsia" w:ascii="宋体" w:hAnsi="宋体" w:eastAsia="宋体" w:cs="宋体"/>
          <w:color w:val="auto"/>
          <w:szCs w:val="21"/>
          <w:highlight w:val="none"/>
          <w:shd w:val="clear" w:color="auto" w:fill="FFFFFF"/>
        </w:rPr>
        <w:t>（项目经理姓名）目</w:t>
      </w:r>
      <w:r>
        <w:rPr>
          <w:rFonts w:hint="eastAsia" w:ascii="宋体" w:hAnsi="宋体" w:eastAsia="宋体" w:cs="宋体"/>
          <w:color w:val="auto"/>
          <w:szCs w:val="21"/>
          <w:highlight w:val="none"/>
        </w:rPr>
        <w:t>前没有担任任何在施建设工程项目的项目经理。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我方保证上述信息的真实和准确，并愿意承担因我方就此弄虚作假所引起的一切法律后果。</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pStyle w:val="33"/>
        <w:widowControl/>
        <w:spacing w:before="330" w:beforeAutospacing="0" w:after="0" w:afterAutospacing="0"/>
        <w:ind w:firstLine="480"/>
        <w:jc w:val="right"/>
        <w:rPr>
          <w:rFonts w:hint="eastAsia" w:ascii="宋体" w:hAnsi="宋体" w:eastAsia="宋体" w:cs="宋体"/>
          <w:color w:val="auto"/>
          <w:sz w:val="21"/>
          <w:szCs w:val="21"/>
          <w:highlight w:val="none"/>
          <w:shd w:val="clear" w:color="auto" w:fill="FFFFFF"/>
        </w:rPr>
      </w:pPr>
    </w:p>
    <w:p>
      <w:pPr>
        <w:pStyle w:val="33"/>
        <w:widowControl/>
        <w:spacing w:before="330" w:beforeAutospacing="0" w:after="0" w:afterAutospacing="0"/>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投标人：</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（盖单位章）</w:t>
      </w:r>
    </w:p>
    <w:p>
      <w:pPr>
        <w:pStyle w:val="33"/>
        <w:widowControl/>
        <w:spacing w:before="330" w:beforeAutospacing="0" w:after="0" w:afterAutospacing="0"/>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法定代表人或其委托代理人： （签字）</w:t>
      </w:r>
    </w:p>
    <w:p>
      <w:pPr>
        <w:pStyle w:val="33"/>
        <w:widowControl/>
        <w:spacing w:before="330" w:beforeAutospacing="0" w:after="0" w:afterAutospacing="0"/>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年  月  日</w:t>
      </w:r>
    </w:p>
    <w:p>
      <w:pPr>
        <w:pStyle w:val="136"/>
        <w:jc w:val="center"/>
        <w:outlineLvl w:val="1"/>
      </w:pPr>
      <w:r>
        <w:br w:type="page"/>
      </w:r>
      <w:bookmarkStart w:id="1167" w:name="_Toc256000113"/>
      <w:r>
        <w:rPr>
          <w:rFonts w:ascii="黑体" w:hAnsi="黑体" w:eastAsia="黑体" w:cs="黑体"/>
          <w:b/>
          <w:sz w:val="32"/>
        </w:rPr>
        <w:t>十二、其他材料</w:t>
      </w:r>
      <w:bookmarkEnd w:id="1167"/>
    </w:p>
    <w:p>
      <w:pPr>
        <w:pStyle w:val="137"/>
        <w:outlineLvl w:val="2"/>
      </w:pPr>
    </w:p>
    <w:p>
      <w:pPr>
        <w:rPr>
          <w:color w:val="000080"/>
          <w:sz w:val="20"/>
          <w:highlight w:val="white"/>
        </w:rPr>
      </w:pPr>
      <w:r>
        <w:rPr>
          <w:rFonts w:hint="eastAsia"/>
          <w:color w:val="000080"/>
          <w:sz w:val="20"/>
          <w:highlight w:val="white"/>
        </w:rPr>
        <w:t xml:space="preserve"> </w:t>
      </w:r>
      <w:bookmarkEnd w:id="1131"/>
    </w:p>
    <w:sectPr>
      <w:headerReference r:id="rId4" w:type="even"/>
      <w:footerReference r:id="rId5"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egoe UI Emoji">
    <w:altName w:val="Segoe UI"/>
    <w:panose1 w:val="020B0502040204020203"/>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文本框 3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sz w:val="20"/>
        <w:szCs w:val="20"/>
      </w:rPr>
    </w:pPr>
    <w:r>
      <w:rPr>
        <w:rStyle w:val="41"/>
        <w:sz w:val="20"/>
        <w:szCs w:val="20"/>
      </w:rPr>
      <w:fldChar w:fldCharType="begin"/>
    </w:r>
    <w:r>
      <w:rPr>
        <w:rStyle w:val="41"/>
        <w:sz w:val="20"/>
        <w:szCs w:val="20"/>
        <w:highlight w:val="white"/>
      </w:rPr>
      <w:instrText xml:space="preserve">PAGE  </w:instrText>
    </w:r>
    <w:r>
      <w:rPr>
        <w:rStyle w:val="41"/>
        <w:sz w:val="20"/>
        <w:szCs w:val="20"/>
      </w:rPr>
      <w:fldChar w:fldCharType="end"/>
    </w:r>
  </w:p>
  <w:p>
    <w:pPr>
      <w:pStyle w:val="24"/>
      <w:jc w:val="center"/>
      <w:rPr>
        <w:sz w:val="17"/>
        <w:szCs w:val="17"/>
      </w:rPr>
    </w:pPr>
    <w:r>
      <w:rPr>
        <w:rStyle w:val="41"/>
        <w:sz w:val="20"/>
        <w:szCs w:val="20"/>
        <w:highlight w:val="white"/>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sz w:val="17"/>
        <w:szCs w:val="17"/>
      </w:rPr>
    </w:pPr>
    <w:r>
      <w:rPr>
        <w:rFonts w:hint="eastAsia"/>
        <w:sz w:val="17"/>
        <w:szCs w:val="17"/>
        <w:highlight w:val="white"/>
      </w:rPr>
      <w:t>第</w:t>
    </w:r>
    <w:r>
      <w:rPr>
        <w:sz w:val="17"/>
        <w:szCs w:val="17"/>
        <w:highlight w:val="white"/>
      </w:rPr>
      <w:t>6</w:t>
    </w:r>
    <w:r>
      <w:rPr>
        <w:rFonts w:hint="eastAsia"/>
        <w:sz w:val="17"/>
        <w:szCs w:val="17"/>
        <w:highlight w:val="white"/>
      </w:rPr>
      <w:t>章 工程量清单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2FDC1"/>
    <w:multiLevelType w:val="singleLevel"/>
    <w:tmpl w:val="CA02FDC1"/>
    <w:lvl w:ilvl="0" w:tentative="0">
      <w:start w:val="1"/>
      <w:numFmt w:val="decimal"/>
      <w:suff w:val="nothing"/>
      <w:lvlText w:val="%1、"/>
      <w:lvlJc w:val="left"/>
    </w:lvl>
  </w:abstractNum>
  <w:abstractNum w:abstractNumId="1">
    <w:nsid w:val="CE812538"/>
    <w:multiLevelType w:val="singleLevel"/>
    <w:tmpl w:val="CE812538"/>
    <w:lvl w:ilvl="0" w:tentative="0">
      <w:start w:val="1"/>
      <w:numFmt w:val="decimal"/>
      <w:lvlText w:val="(%1)"/>
      <w:lvlJc w:val="left"/>
      <w:pPr>
        <w:tabs>
          <w:tab w:val="left" w:pos="312"/>
        </w:tabs>
      </w:pPr>
    </w:lvl>
  </w:abstractNum>
  <w:abstractNum w:abstractNumId="2">
    <w:nsid w:val="F963B0DA"/>
    <w:multiLevelType w:val="singleLevel"/>
    <w:tmpl w:val="F963B0DA"/>
    <w:lvl w:ilvl="0" w:tentative="0">
      <w:start w:val="1"/>
      <w:numFmt w:val="decimal"/>
      <w:suff w:val="nothing"/>
      <w:lvlText w:val="%1、"/>
      <w:lvlJc w:val="left"/>
    </w:lvl>
  </w:abstractNum>
  <w:abstractNum w:abstractNumId="3">
    <w:nsid w:val="FA24FC85"/>
    <w:multiLevelType w:val="singleLevel"/>
    <w:tmpl w:val="FA24FC85"/>
    <w:lvl w:ilvl="0" w:tentative="0">
      <w:start w:val="5"/>
      <w:numFmt w:val="chineseCounting"/>
      <w:suff w:val="space"/>
      <w:lvlText w:val="第%1章"/>
      <w:lvlJc w:val="left"/>
      <w:rPr>
        <w:rFonts w:hint="eastAsia"/>
      </w:rPr>
    </w:lvl>
  </w:abstractNum>
  <w:abstractNum w:abstractNumId="4">
    <w:nsid w:val="0000001C"/>
    <w:multiLevelType w:val="multilevel"/>
    <w:tmpl w:val="0000001C"/>
    <w:lvl w:ilvl="0" w:tentative="0">
      <w:start w:val="1"/>
      <w:numFmt w:val="decimalEnclosedParen"/>
      <w:lvlText w:val="%1"/>
      <w:lvlJc w:val="left"/>
      <w:pPr>
        <w:ind w:left="825" w:hanging="360"/>
      </w:pPr>
      <w:rPr>
        <w:rFonts w:hint="default" w:ascii="宋体" w:hAnsi="宋体" w:cs="宋体"/>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5">
    <w:nsid w:val="07E9DCD9"/>
    <w:multiLevelType w:val="singleLevel"/>
    <w:tmpl w:val="07E9DCD9"/>
    <w:lvl w:ilvl="0" w:tentative="0">
      <w:start w:val="2"/>
      <w:numFmt w:val="decimal"/>
      <w:suff w:val="nothing"/>
      <w:lvlText w:val="（%1）"/>
      <w:lvlJc w:val="left"/>
    </w:lvl>
  </w:abstractNum>
  <w:abstractNum w:abstractNumId="6">
    <w:nsid w:val="0BEC7F99"/>
    <w:multiLevelType w:val="multilevel"/>
    <w:tmpl w:val="0BEC7F99"/>
    <w:lvl w:ilvl="0" w:tentative="0">
      <w:start w:val="1"/>
      <w:numFmt w:val="japaneseCounting"/>
      <w:lvlText w:val="第%1章"/>
      <w:lvlJc w:val="left"/>
      <w:pPr>
        <w:ind w:left="1090" w:hanging="10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C90154"/>
    <w:multiLevelType w:val="multilevel"/>
    <w:tmpl w:val="15C90154"/>
    <w:lvl w:ilvl="0" w:tentative="0">
      <w:start w:val="1"/>
      <w:numFmt w:val="decimalEnclosedParen"/>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BCE64EC"/>
    <w:multiLevelType w:val="multilevel"/>
    <w:tmpl w:val="7BCE64EC"/>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2"/>
  </w:num>
  <w:num w:numId="3">
    <w:abstractNumId w:val="0"/>
  </w:num>
  <w:num w:numId="4">
    <w:abstractNumId w:val="1"/>
  </w:num>
  <w:num w:numId="5">
    <w:abstractNumId w:val="8"/>
  </w:num>
  <w:num w:numId="6">
    <w:abstractNumId w:val="5"/>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3MzZiMTNlZjYzZWIyMGFmOWNiODdjZWM4YzEwZjkifQ=="/>
  </w:docVars>
  <w:rsids>
    <w:rsidRoot w:val="007B6761"/>
    <w:rsid w:val="002E0DA8"/>
    <w:rsid w:val="0048188E"/>
    <w:rsid w:val="00642CE3"/>
    <w:rsid w:val="007B6761"/>
    <w:rsid w:val="00BA3ECF"/>
    <w:rsid w:val="00F646D0"/>
    <w:rsid w:val="028247F4"/>
    <w:rsid w:val="034C108A"/>
    <w:rsid w:val="036B5EBC"/>
    <w:rsid w:val="037E39E5"/>
    <w:rsid w:val="0654578E"/>
    <w:rsid w:val="07136FF8"/>
    <w:rsid w:val="07C9327F"/>
    <w:rsid w:val="083D5445"/>
    <w:rsid w:val="084F29F1"/>
    <w:rsid w:val="08A47AB4"/>
    <w:rsid w:val="095E38C5"/>
    <w:rsid w:val="09FC4E8C"/>
    <w:rsid w:val="0AA20549"/>
    <w:rsid w:val="0C030754"/>
    <w:rsid w:val="0C9D4705"/>
    <w:rsid w:val="0CBF15D6"/>
    <w:rsid w:val="0D496672"/>
    <w:rsid w:val="0D58687D"/>
    <w:rsid w:val="0D715E0E"/>
    <w:rsid w:val="0E865C80"/>
    <w:rsid w:val="0F8D2345"/>
    <w:rsid w:val="0F933B9D"/>
    <w:rsid w:val="105161CC"/>
    <w:rsid w:val="1245376E"/>
    <w:rsid w:val="13EA4220"/>
    <w:rsid w:val="15DD3DC4"/>
    <w:rsid w:val="1677777B"/>
    <w:rsid w:val="16BE3BF5"/>
    <w:rsid w:val="16C86E7B"/>
    <w:rsid w:val="171D7EF4"/>
    <w:rsid w:val="19715C7C"/>
    <w:rsid w:val="19DC3A50"/>
    <w:rsid w:val="1C2F396D"/>
    <w:rsid w:val="1C6F7740"/>
    <w:rsid w:val="1CDF405D"/>
    <w:rsid w:val="1F83446D"/>
    <w:rsid w:val="217411B3"/>
    <w:rsid w:val="228F2AB0"/>
    <w:rsid w:val="22AE4F50"/>
    <w:rsid w:val="23583BAF"/>
    <w:rsid w:val="24C7636B"/>
    <w:rsid w:val="24EE598E"/>
    <w:rsid w:val="256F03A2"/>
    <w:rsid w:val="260412B3"/>
    <w:rsid w:val="2770775E"/>
    <w:rsid w:val="27B01338"/>
    <w:rsid w:val="29651F80"/>
    <w:rsid w:val="2A7433E3"/>
    <w:rsid w:val="2BE50450"/>
    <w:rsid w:val="2C02412C"/>
    <w:rsid w:val="2CF00429"/>
    <w:rsid w:val="2D237A7D"/>
    <w:rsid w:val="2E424CB4"/>
    <w:rsid w:val="2EBC6814"/>
    <w:rsid w:val="30FD3114"/>
    <w:rsid w:val="326428CF"/>
    <w:rsid w:val="32A222E2"/>
    <w:rsid w:val="345E0691"/>
    <w:rsid w:val="346566C4"/>
    <w:rsid w:val="34BA37F6"/>
    <w:rsid w:val="364B2F6C"/>
    <w:rsid w:val="37865C12"/>
    <w:rsid w:val="378E2D18"/>
    <w:rsid w:val="37B817F6"/>
    <w:rsid w:val="387E6EDB"/>
    <w:rsid w:val="399D78B3"/>
    <w:rsid w:val="3A085786"/>
    <w:rsid w:val="3A5B4F58"/>
    <w:rsid w:val="3B84690C"/>
    <w:rsid w:val="3CB46720"/>
    <w:rsid w:val="3D633F2C"/>
    <w:rsid w:val="3D700511"/>
    <w:rsid w:val="3E1F291C"/>
    <w:rsid w:val="3F36616F"/>
    <w:rsid w:val="3F9F3849"/>
    <w:rsid w:val="3FE21E53"/>
    <w:rsid w:val="3FF658FE"/>
    <w:rsid w:val="40041DC9"/>
    <w:rsid w:val="402B55A8"/>
    <w:rsid w:val="405C131C"/>
    <w:rsid w:val="40BB25A0"/>
    <w:rsid w:val="40BF7252"/>
    <w:rsid w:val="40F40090"/>
    <w:rsid w:val="426122DD"/>
    <w:rsid w:val="43460443"/>
    <w:rsid w:val="44834BF8"/>
    <w:rsid w:val="45A875A9"/>
    <w:rsid w:val="45B002FD"/>
    <w:rsid w:val="46D05A33"/>
    <w:rsid w:val="476E7A5A"/>
    <w:rsid w:val="47A824CD"/>
    <w:rsid w:val="481B23A6"/>
    <w:rsid w:val="49B368B7"/>
    <w:rsid w:val="4AB85193"/>
    <w:rsid w:val="4B5818CE"/>
    <w:rsid w:val="4BC845F3"/>
    <w:rsid w:val="4BE45FE1"/>
    <w:rsid w:val="4C433BB8"/>
    <w:rsid w:val="4CC20F00"/>
    <w:rsid w:val="4D63772E"/>
    <w:rsid w:val="4DA60EAA"/>
    <w:rsid w:val="4E3C3076"/>
    <w:rsid w:val="4E7C0848"/>
    <w:rsid w:val="4EA50C1B"/>
    <w:rsid w:val="4EDE02EF"/>
    <w:rsid w:val="4F680089"/>
    <w:rsid w:val="4F8827AB"/>
    <w:rsid w:val="4FBA6948"/>
    <w:rsid w:val="5034570C"/>
    <w:rsid w:val="50543D43"/>
    <w:rsid w:val="510065DD"/>
    <w:rsid w:val="51D66A4D"/>
    <w:rsid w:val="51E101BC"/>
    <w:rsid w:val="5384058C"/>
    <w:rsid w:val="54756F5E"/>
    <w:rsid w:val="54B90728"/>
    <w:rsid w:val="5615042E"/>
    <w:rsid w:val="56707D61"/>
    <w:rsid w:val="56D4123E"/>
    <w:rsid w:val="57085F69"/>
    <w:rsid w:val="58933E6D"/>
    <w:rsid w:val="58D31010"/>
    <w:rsid w:val="59070F4D"/>
    <w:rsid w:val="59254E33"/>
    <w:rsid w:val="5932754F"/>
    <w:rsid w:val="59701AD0"/>
    <w:rsid w:val="59811BDA"/>
    <w:rsid w:val="5A160C1F"/>
    <w:rsid w:val="5A387D96"/>
    <w:rsid w:val="5ACE32A8"/>
    <w:rsid w:val="5BB714E6"/>
    <w:rsid w:val="5BC20422"/>
    <w:rsid w:val="5C332256"/>
    <w:rsid w:val="5D1C654D"/>
    <w:rsid w:val="62FD752A"/>
    <w:rsid w:val="64242857"/>
    <w:rsid w:val="649F5C22"/>
    <w:rsid w:val="676E56FA"/>
    <w:rsid w:val="67C2392D"/>
    <w:rsid w:val="68946024"/>
    <w:rsid w:val="6B8F348A"/>
    <w:rsid w:val="6BB34520"/>
    <w:rsid w:val="6BCC5EFE"/>
    <w:rsid w:val="6C2D48BA"/>
    <w:rsid w:val="6EC95E08"/>
    <w:rsid w:val="71453E6C"/>
    <w:rsid w:val="71D53DAD"/>
    <w:rsid w:val="726B60C8"/>
    <w:rsid w:val="72F1357F"/>
    <w:rsid w:val="73440153"/>
    <w:rsid w:val="7404447B"/>
    <w:rsid w:val="74374CAA"/>
    <w:rsid w:val="75124579"/>
    <w:rsid w:val="758D613C"/>
    <w:rsid w:val="75B121EE"/>
    <w:rsid w:val="76081FC8"/>
    <w:rsid w:val="76435412"/>
    <w:rsid w:val="779D0C3B"/>
    <w:rsid w:val="779E7BC9"/>
    <w:rsid w:val="77BB2D05"/>
    <w:rsid w:val="784B6CB0"/>
    <w:rsid w:val="786B5115"/>
    <w:rsid w:val="78B63C4C"/>
    <w:rsid w:val="7A535C10"/>
    <w:rsid w:val="7BF070CA"/>
    <w:rsid w:val="7CF624BE"/>
    <w:rsid w:val="7DC12ACC"/>
    <w:rsid w:val="7E1F77F3"/>
    <w:rsid w:val="7E225A93"/>
    <w:rsid w:val="7E7212D6"/>
    <w:rsid w:val="7E8A5D25"/>
    <w:rsid w:val="7E8F75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120" w:after="120" w:line="400" w:lineRule="exact"/>
      <w:jc w:val="left"/>
      <w:outlineLvl w:val="2"/>
    </w:pPr>
    <w:rPr>
      <w:rFonts w:ascii="宋体"/>
      <w:b/>
      <w:bCs/>
      <w:color w:val="FF0000"/>
      <w:sz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0">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0"/>
    <w:pPr>
      <w:ind w:left="1260"/>
      <w:jc w:val="left"/>
    </w:pPr>
    <w:rPr>
      <w:rFonts w:cs="Calibri"/>
      <w:sz w:val="18"/>
      <w:szCs w:val="18"/>
    </w:rPr>
  </w:style>
  <w:style w:type="paragraph" w:styleId="11">
    <w:name w:val="Normal Indent"/>
    <w:basedOn w:val="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autoRedefine/>
    <w:qFormat/>
    <w:uiPriority w:val="0"/>
    <w:pPr>
      <w:jc w:val="left"/>
    </w:pPr>
  </w:style>
  <w:style w:type="paragraph" w:styleId="14">
    <w:name w:val="Body Text 3"/>
    <w:basedOn w:val="1"/>
    <w:autoRedefine/>
    <w:qFormat/>
    <w:uiPriority w:val="0"/>
    <w:rPr>
      <w:rFonts w:ascii="宋体"/>
      <w:sz w:val="24"/>
      <w:szCs w:val="20"/>
    </w:rPr>
  </w:style>
  <w:style w:type="paragraph" w:styleId="15">
    <w:name w:val="Body Text"/>
    <w:basedOn w:val="1"/>
    <w:next w:val="1"/>
    <w:autoRedefine/>
    <w:qFormat/>
    <w:uiPriority w:val="0"/>
    <w:pPr>
      <w:spacing w:after="120"/>
    </w:pPr>
  </w:style>
  <w:style w:type="paragraph" w:styleId="16">
    <w:name w:val="Body Text Indent"/>
    <w:basedOn w:val="1"/>
    <w:autoRedefine/>
    <w:qFormat/>
    <w:uiPriority w:val="0"/>
    <w:pPr>
      <w:spacing w:after="120"/>
      <w:ind w:left="420" w:leftChars="200"/>
    </w:pPr>
  </w:style>
  <w:style w:type="paragraph" w:styleId="17">
    <w:name w:val="toc 5"/>
    <w:basedOn w:val="1"/>
    <w:next w:val="1"/>
    <w:autoRedefine/>
    <w:qFormat/>
    <w:uiPriority w:val="0"/>
    <w:pPr>
      <w:ind w:left="840"/>
      <w:jc w:val="left"/>
    </w:pPr>
    <w:rPr>
      <w:rFonts w:cs="Calibri"/>
      <w:sz w:val="18"/>
      <w:szCs w:val="18"/>
    </w:rPr>
  </w:style>
  <w:style w:type="paragraph" w:styleId="18">
    <w:name w:val="toc 3"/>
    <w:basedOn w:val="1"/>
    <w:next w:val="1"/>
    <w:autoRedefine/>
    <w:qFormat/>
    <w:uiPriority w:val="39"/>
    <w:pPr>
      <w:ind w:left="420"/>
      <w:jc w:val="left"/>
    </w:pPr>
    <w:rPr>
      <w:rFonts w:cs="Calibri"/>
      <w:i/>
      <w:iCs/>
      <w:sz w:val="20"/>
      <w:szCs w:val="20"/>
    </w:rPr>
  </w:style>
  <w:style w:type="paragraph" w:styleId="19">
    <w:name w:val="Plain Text"/>
    <w:basedOn w:val="1"/>
    <w:autoRedefine/>
    <w:qFormat/>
    <w:uiPriority w:val="0"/>
    <w:rPr>
      <w:rFonts w:ascii="Courier New" w:hAnsi="Courier New"/>
      <w:szCs w:val="20"/>
    </w:rPr>
  </w:style>
  <w:style w:type="paragraph" w:styleId="20">
    <w:name w:val="toc 8"/>
    <w:basedOn w:val="1"/>
    <w:next w:val="1"/>
    <w:autoRedefine/>
    <w:qFormat/>
    <w:uiPriority w:val="0"/>
    <w:pPr>
      <w:ind w:left="1470"/>
      <w:jc w:val="left"/>
    </w:pPr>
    <w:rPr>
      <w:rFonts w:cs="Calibri"/>
      <w:sz w:val="18"/>
      <w:szCs w:val="18"/>
    </w:rPr>
  </w:style>
  <w:style w:type="paragraph" w:styleId="21">
    <w:name w:val="Date"/>
    <w:basedOn w:val="1"/>
    <w:next w:val="1"/>
    <w:autoRedefine/>
    <w:qFormat/>
    <w:uiPriority w:val="0"/>
    <w:rPr>
      <w:sz w:val="24"/>
      <w:szCs w:val="20"/>
    </w:rPr>
  </w:style>
  <w:style w:type="paragraph" w:styleId="22">
    <w:name w:val="Body Text Indent 2"/>
    <w:basedOn w:val="1"/>
    <w:autoRedefine/>
    <w:qFormat/>
    <w:uiPriority w:val="0"/>
    <w:pPr>
      <w:spacing w:after="120" w:line="480" w:lineRule="auto"/>
      <w:ind w:left="420" w:leftChars="200"/>
    </w:pPr>
  </w:style>
  <w:style w:type="paragraph" w:styleId="23">
    <w:name w:val="Balloon Text"/>
    <w:basedOn w:val="1"/>
    <w:autoRedefine/>
    <w:semiHidden/>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120" w:after="120"/>
      <w:jc w:val="left"/>
    </w:pPr>
    <w:rPr>
      <w:rFonts w:cs="Calibri"/>
      <w:b/>
      <w:bCs/>
      <w:caps/>
      <w:sz w:val="20"/>
      <w:szCs w:val="20"/>
    </w:rPr>
  </w:style>
  <w:style w:type="paragraph" w:styleId="27">
    <w:name w:val="toc 4"/>
    <w:basedOn w:val="1"/>
    <w:next w:val="1"/>
    <w:autoRedefine/>
    <w:qFormat/>
    <w:uiPriority w:val="0"/>
    <w:pPr>
      <w:ind w:left="630"/>
      <w:jc w:val="left"/>
    </w:pPr>
    <w:rPr>
      <w:rFonts w:cs="Calibri"/>
      <w:sz w:val="18"/>
      <w:szCs w:val="18"/>
    </w:rPr>
  </w:style>
  <w:style w:type="paragraph" w:styleId="28">
    <w:name w:val="toc 6"/>
    <w:basedOn w:val="1"/>
    <w:next w:val="1"/>
    <w:autoRedefine/>
    <w:qFormat/>
    <w:uiPriority w:val="0"/>
    <w:pPr>
      <w:ind w:left="1050"/>
      <w:jc w:val="left"/>
    </w:pPr>
    <w:rPr>
      <w:rFonts w:cs="Calibri"/>
      <w:sz w:val="18"/>
      <w:szCs w:val="18"/>
    </w:rPr>
  </w:style>
  <w:style w:type="paragraph" w:styleId="29">
    <w:name w:val="Body Text Indent 3"/>
    <w:basedOn w:val="1"/>
    <w:autoRedefine/>
    <w:qFormat/>
    <w:uiPriority w:val="0"/>
    <w:pPr>
      <w:spacing w:after="120"/>
      <w:ind w:left="420" w:leftChars="200"/>
    </w:pPr>
    <w:rPr>
      <w:sz w:val="16"/>
      <w:szCs w:val="16"/>
    </w:rPr>
  </w:style>
  <w:style w:type="paragraph" w:styleId="30">
    <w:name w:val="toc 2"/>
    <w:basedOn w:val="1"/>
    <w:next w:val="1"/>
    <w:autoRedefine/>
    <w:qFormat/>
    <w:uiPriority w:val="39"/>
    <w:pPr>
      <w:ind w:left="210"/>
      <w:jc w:val="left"/>
    </w:pPr>
    <w:rPr>
      <w:rFonts w:cs="Calibri"/>
      <w:smallCaps/>
      <w:sz w:val="20"/>
      <w:szCs w:val="20"/>
    </w:rPr>
  </w:style>
  <w:style w:type="paragraph" w:styleId="31">
    <w:name w:val="toc 9"/>
    <w:basedOn w:val="1"/>
    <w:next w:val="1"/>
    <w:autoRedefine/>
    <w:qFormat/>
    <w:uiPriority w:val="0"/>
    <w:pPr>
      <w:ind w:left="1680"/>
      <w:jc w:val="left"/>
    </w:pPr>
    <w:rPr>
      <w:rFonts w:cs="Calibri"/>
      <w:sz w:val="18"/>
      <w:szCs w:val="18"/>
    </w:rPr>
  </w:style>
  <w:style w:type="paragraph" w:styleId="32">
    <w:name w:val="Body Text 2"/>
    <w:basedOn w:val="1"/>
    <w:autoRedefine/>
    <w:qFormat/>
    <w:uiPriority w:val="0"/>
    <w:pPr>
      <w:spacing w:after="120" w:line="480" w:lineRule="auto"/>
    </w:pPr>
  </w:style>
  <w:style w:type="paragraph" w:styleId="33">
    <w:name w:val="Normal (Web)"/>
    <w:basedOn w:val="1"/>
    <w:autoRedefine/>
    <w:qFormat/>
    <w:uiPriority w:val="0"/>
    <w:pPr>
      <w:widowControl/>
      <w:spacing w:before="100" w:beforeAutospacing="1" w:after="100" w:afterAutospacing="1"/>
      <w:jc w:val="left"/>
    </w:pPr>
    <w:rPr>
      <w:kern w:val="0"/>
      <w:sz w:val="24"/>
    </w:rPr>
  </w:style>
  <w:style w:type="paragraph" w:styleId="34">
    <w:name w:val="index 1"/>
    <w:basedOn w:val="1"/>
    <w:next w:val="1"/>
    <w:autoRedefine/>
    <w:semiHidden/>
    <w:qFormat/>
    <w:uiPriority w:val="0"/>
    <w:pPr>
      <w:spacing w:line="220" w:lineRule="exact"/>
      <w:jc w:val="center"/>
    </w:pPr>
    <w:rPr>
      <w:rFonts w:ascii="仿宋_GB2312" w:eastAsia="仿宋_GB2312"/>
      <w:szCs w:val="21"/>
    </w:rPr>
  </w:style>
  <w:style w:type="paragraph" w:styleId="35">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8">
    <w:name w:val="Table Theme"/>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Professional"/>
    <w:basedOn w:val="3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41">
    <w:name w:val="page number"/>
    <w:autoRedefine/>
    <w:qFormat/>
    <w:uiPriority w:val="0"/>
    <w:rPr>
      <w:rFonts w:ascii="Arial" w:hAnsi="Arial" w:eastAsia="黑体"/>
      <w:kern w:val="2"/>
      <w:sz w:val="21"/>
      <w:szCs w:val="21"/>
      <w:lang w:val="en-US" w:eastAsia="zh-CN" w:bidi="ar-SA"/>
    </w:rPr>
  </w:style>
  <w:style w:type="character" w:styleId="42">
    <w:name w:val="FollowedHyperlink"/>
    <w:autoRedefine/>
    <w:qFormat/>
    <w:uiPriority w:val="0"/>
    <w:rPr>
      <w:rFonts w:ascii="Arial" w:hAnsi="Arial" w:eastAsia="黑体"/>
      <w:color w:val="800080"/>
      <w:kern w:val="2"/>
      <w:sz w:val="21"/>
      <w:szCs w:val="21"/>
      <w:u w:val="single"/>
      <w:lang w:val="en-US" w:eastAsia="zh-CN" w:bidi="ar-SA"/>
    </w:rPr>
  </w:style>
  <w:style w:type="character" w:styleId="43">
    <w:name w:val="Hyperlink"/>
    <w:autoRedefine/>
    <w:qFormat/>
    <w:uiPriority w:val="99"/>
    <w:rPr>
      <w:rFonts w:ascii="Arial" w:hAnsi="Arial" w:eastAsia="黑体"/>
      <w:color w:val="0000FF"/>
      <w:kern w:val="2"/>
      <w:sz w:val="21"/>
      <w:szCs w:val="21"/>
      <w:u w:val="single"/>
      <w:lang w:val="en-US" w:eastAsia="zh-CN" w:bidi="ar-SA"/>
    </w:rPr>
  </w:style>
  <w:style w:type="character" w:customStyle="1" w:styleId="44">
    <w:name w:val="标题 1 Char"/>
    <w:link w:val="2"/>
    <w:autoRedefine/>
    <w:qFormat/>
    <w:uiPriority w:val="0"/>
    <w:rPr>
      <w:rFonts w:eastAsia="宋体"/>
      <w:b/>
      <w:bCs/>
      <w:kern w:val="44"/>
      <w:sz w:val="44"/>
      <w:szCs w:val="44"/>
      <w:lang w:val="en-US" w:eastAsia="zh-CN" w:bidi="ar-SA"/>
    </w:rPr>
  </w:style>
  <w:style w:type="character" w:customStyle="1" w:styleId="45">
    <w:name w:val="标题 2 Char"/>
    <w:link w:val="3"/>
    <w:autoRedefine/>
    <w:qFormat/>
    <w:uiPriority w:val="0"/>
    <w:rPr>
      <w:rFonts w:ascii="Arial" w:hAnsi="Arial" w:eastAsia="黑体"/>
      <w:b/>
      <w:bCs/>
      <w:kern w:val="2"/>
      <w:sz w:val="32"/>
      <w:szCs w:val="32"/>
      <w:lang w:val="en-US" w:eastAsia="zh-CN" w:bidi="ar-SA"/>
    </w:rPr>
  </w:style>
  <w:style w:type="paragraph" w:customStyle="1" w:styleId="46">
    <w:name w:val="标题2"/>
    <w:basedOn w:val="3"/>
    <w:next w:val="1"/>
    <w:autoRedefine/>
    <w:qFormat/>
    <w:uiPriority w:val="0"/>
    <w:pPr>
      <w:snapToGrid w:val="0"/>
      <w:spacing w:before="120" w:after="120" w:line="240" w:lineRule="auto"/>
      <w:jc w:val="left"/>
    </w:pPr>
    <w:rPr>
      <w:b w:val="0"/>
      <w:bCs w:val="0"/>
      <w:sz w:val="21"/>
      <w:szCs w:val="21"/>
    </w:rPr>
  </w:style>
  <w:style w:type="paragraph" w:customStyle="1" w:styleId="47">
    <w:name w:val="样式 标题 3 + (中文) 黑体 小四 非加粗 段前: 7.8 磅 段后: 0 磅 行距: 固定值 20 磅"/>
    <w:basedOn w:val="4"/>
    <w:autoRedefine/>
    <w:qFormat/>
    <w:uiPriority w:val="0"/>
    <w:pPr>
      <w:spacing w:before="0" w:after="0"/>
    </w:pPr>
    <w:rPr>
      <w:rFonts w:eastAsia="黑体" w:cs="宋体"/>
      <w:b w:val="0"/>
      <w:bCs w:val="0"/>
      <w:szCs w:val="20"/>
    </w:rPr>
  </w:style>
  <w:style w:type="paragraph" w:customStyle="1" w:styleId="4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49">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50">
    <w:name w:val="1"/>
    <w:basedOn w:val="1"/>
    <w:autoRedefine/>
    <w:qFormat/>
    <w:uiPriority w:val="0"/>
  </w:style>
  <w:style w:type="character" w:customStyle="1" w:styleId="51">
    <w:name w:val="font161"/>
    <w:autoRedefine/>
    <w:qFormat/>
    <w:uiPriority w:val="0"/>
    <w:rPr>
      <w:rFonts w:ascii="Arial" w:hAnsi="Arial" w:eastAsia="黑体"/>
      <w:b/>
      <w:bCs/>
      <w:kern w:val="2"/>
      <w:sz w:val="32"/>
      <w:szCs w:val="32"/>
      <w:lang w:val="en-US" w:eastAsia="zh-CN" w:bidi="ar-SA"/>
    </w:rPr>
  </w:style>
  <w:style w:type="paragraph" w:customStyle="1" w:styleId="5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3">
    <w:name w:val="表格"/>
    <w:basedOn w:val="1"/>
    <w:autoRedefine/>
    <w:qFormat/>
    <w:uiPriority w:val="0"/>
    <w:pPr>
      <w:jc w:val="center"/>
      <w:textAlignment w:val="center"/>
    </w:pPr>
    <w:rPr>
      <w:rFonts w:ascii="华文细黑" w:hAnsi="华文细黑"/>
      <w:kern w:val="0"/>
      <w:szCs w:val="20"/>
    </w:rPr>
  </w:style>
  <w:style w:type="paragraph" w:customStyle="1" w:styleId="54">
    <w:name w:val="表格文字"/>
    <w:basedOn w:val="1"/>
    <w:autoRedefine/>
    <w:qFormat/>
    <w:uiPriority w:val="0"/>
    <w:pPr>
      <w:adjustRightInd w:val="0"/>
      <w:spacing w:line="420" w:lineRule="atLeast"/>
      <w:jc w:val="left"/>
      <w:textAlignment w:val="baseline"/>
    </w:pPr>
    <w:rPr>
      <w:kern w:val="0"/>
      <w:szCs w:val="20"/>
    </w:rPr>
  </w:style>
  <w:style w:type="paragraph" w:customStyle="1" w:styleId="55">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56">
    <w:name w:val="font5"/>
    <w:basedOn w:val="1"/>
    <w:link w:val="57"/>
    <w:autoRedefine/>
    <w:qFormat/>
    <w:uiPriority w:val="0"/>
    <w:pPr>
      <w:widowControl/>
      <w:spacing w:before="100" w:beforeAutospacing="1" w:after="100" w:afterAutospacing="1"/>
      <w:jc w:val="left"/>
    </w:pPr>
    <w:rPr>
      <w:rFonts w:ascii="宋体" w:hAnsi="宋体"/>
      <w:kern w:val="0"/>
      <w:sz w:val="24"/>
    </w:rPr>
  </w:style>
  <w:style w:type="character" w:customStyle="1" w:styleId="57">
    <w:name w:val="font5 Char"/>
    <w:link w:val="56"/>
    <w:autoRedefine/>
    <w:qFormat/>
    <w:uiPriority w:val="0"/>
    <w:rPr>
      <w:rFonts w:ascii="宋体" w:hAnsi="宋体" w:eastAsia="宋体"/>
      <w:sz w:val="24"/>
      <w:szCs w:val="24"/>
      <w:lang w:val="en-US" w:eastAsia="zh-CN" w:bidi="ar-SA"/>
    </w:rPr>
  </w:style>
  <w:style w:type="paragraph" w:customStyle="1" w:styleId="58">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59">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60">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61">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62">
    <w:name w:val="Char"/>
    <w:basedOn w:val="1"/>
    <w:autoRedefine/>
    <w:qFormat/>
    <w:uiPriority w:val="0"/>
    <w:pPr>
      <w:snapToGrid w:val="0"/>
      <w:spacing w:line="360" w:lineRule="auto"/>
      <w:ind w:firstLine="200" w:firstLineChars="200"/>
    </w:pPr>
    <w:rPr>
      <w:rFonts w:ascii="Arial" w:hAnsi="Arial" w:eastAsia="黑体"/>
      <w:szCs w:val="21"/>
    </w:rPr>
  </w:style>
  <w:style w:type="paragraph" w:customStyle="1" w:styleId="63">
    <w:name w:val="Normal_0"/>
    <w:autoRedefine/>
    <w:qFormat/>
    <w:uiPriority w:val="0"/>
    <w:pPr>
      <w:widowControl w:val="0"/>
      <w:jc w:val="both"/>
    </w:pPr>
    <w:rPr>
      <w:rFonts w:ascii="Calibri" w:hAnsi="Calibri" w:eastAsia="Calibri" w:cs="Times New Roman"/>
      <w:szCs w:val="24"/>
      <w:lang w:val="en-US" w:eastAsia="zh-CN" w:bidi="ar-SA"/>
    </w:rPr>
  </w:style>
  <w:style w:type="paragraph" w:customStyle="1" w:styleId="64">
    <w:name w:val="正文文本1"/>
    <w:basedOn w:val="63"/>
    <w:link w:val="65"/>
    <w:autoRedefine/>
    <w:qFormat/>
    <w:uiPriority w:val="0"/>
    <w:pPr>
      <w:spacing w:after="120"/>
    </w:pPr>
  </w:style>
  <w:style w:type="character" w:customStyle="1" w:styleId="65">
    <w:name w:val="正文文本 Char"/>
    <w:basedOn w:val="40"/>
    <w:link w:val="64"/>
    <w:autoRedefine/>
    <w:qFormat/>
    <w:uiPriority w:val="0"/>
    <w:rPr>
      <w:rFonts w:ascii="Calibri" w:hAnsi="Calibri" w:eastAsia="Calibri" w:cs="Times New Roman"/>
      <w:szCs w:val="24"/>
    </w:rPr>
  </w:style>
  <w:style w:type="character" w:customStyle="1" w:styleId="66">
    <w:name w:val="超链接1"/>
    <w:autoRedefine/>
    <w:qFormat/>
    <w:uiPriority w:val="0"/>
    <w:rPr>
      <w:rFonts w:ascii="Arial" w:hAnsi="Arial" w:eastAsia="黑体" w:cs="Times New Roman"/>
      <w:color w:val="0000FF"/>
      <w:kern w:val="2"/>
      <w:sz w:val="21"/>
      <w:szCs w:val="21"/>
      <w:u w:val="single"/>
      <w:lang w:val="en-US" w:eastAsia="zh-CN" w:bidi="ar-SA"/>
    </w:rPr>
  </w:style>
  <w:style w:type="paragraph" w:customStyle="1" w:styleId="67">
    <w:name w:val="Normal_1"/>
    <w:autoRedefine/>
    <w:qFormat/>
    <w:uiPriority w:val="0"/>
    <w:pPr>
      <w:widowControl w:val="0"/>
      <w:jc w:val="both"/>
    </w:pPr>
    <w:rPr>
      <w:rFonts w:ascii="Calibri" w:hAnsi="Calibri" w:eastAsia="Calibri" w:cs="Times New Roman"/>
      <w:szCs w:val="24"/>
      <w:lang w:val="en-US" w:eastAsia="zh-CN" w:bidi="ar-SA"/>
    </w:rPr>
  </w:style>
  <w:style w:type="paragraph" w:customStyle="1" w:styleId="68">
    <w:name w:val="Body Text_0"/>
    <w:basedOn w:val="67"/>
    <w:link w:val="69"/>
    <w:autoRedefine/>
    <w:qFormat/>
    <w:uiPriority w:val="0"/>
    <w:pPr>
      <w:spacing w:after="120"/>
    </w:pPr>
    <w:rPr>
      <w:rFonts w:ascii="Times New Roman" w:hAnsi="Times New Roman" w:eastAsia="宋体"/>
    </w:rPr>
  </w:style>
  <w:style w:type="character" w:customStyle="1" w:styleId="69">
    <w:name w:val="正文文本 Char_0"/>
    <w:basedOn w:val="40"/>
    <w:link w:val="68"/>
    <w:autoRedefine/>
    <w:qFormat/>
    <w:uiPriority w:val="0"/>
    <w:rPr>
      <w:rFonts w:ascii="Times New Roman" w:hAnsi="Times New Roman" w:eastAsia="宋体" w:cs="Times New Roman"/>
      <w:szCs w:val="24"/>
    </w:rPr>
  </w:style>
  <w:style w:type="paragraph" w:customStyle="1" w:styleId="70">
    <w:name w:val="Heading 2"/>
    <w:basedOn w:val="67"/>
    <w:next w:val="67"/>
    <w:link w:val="71"/>
    <w:autoRedefine/>
    <w:qFormat/>
    <w:uiPriority w:val="0"/>
    <w:pPr>
      <w:keepNext/>
      <w:keepLines/>
      <w:spacing w:before="260" w:after="260" w:line="416" w:lineRule="auto"/>
      <w:outlineLvl w:val="1"/>
    </w:pPr>
    <w:rPr>
      <w:rFonts w:ascii="Arial" w:hAnsi="Arial" w:eastAsia="黑体"/>
      <w:b/>
      <w:bCs/>
      <w:sz w:val="32"/>
      <w:szCs w:val="32"/>
    </w:rPr>
  </w:style>
  <w:style w:type="character" w:customStyle="1" w:styleId="71">
    <w:name w:val="标题 2 Char_0"/>
    <w:basedOn w:val="40"/>
    <w:link w:val="70"/>
    <w:autoRedefine/>
    <w:qFormat/>
    <w:uiPriority w:val="0"/>
    <w:rPr>
      <w:rFonts w:ascii="Arial" w:hAnsi="Arial" w:eastAsia="黑体" w:cs="Times New Roman"/>
      <w:b/>
      <w:bCs/>
      <w:sz w:val="32"/>
      <w:szCs w:val="32"/>
    </w:rPr>
  </w:style>
  <w:style w:type="paragraph" w:customStyle="1" w:styleId="72">
    <w:name w:val="Heading 4"/>
    <w:basedOn w:val="67"/>
    <w:next w:val="67"/>
    <w:link w:val="73"/>
    <w:autoRedefine/>
    <w:qFormat/>
    <w:uiPriority w:val="0"/>
    <w:pPr>
      <w:keepNext/>
      <w:keepLines/>
      <w:spacing w:before="280" w:after="290" w:line="376" w:lineRule="auto"/>
      <w:outlineLvl w:val="3"/>
    </w:pPr>
    <w:rPr>
      <w:rFonts w:ascii="Arial" w:hAnsi="Arial" w:eastAsia="黑体"/>
      <w:b/>
      <w:bCs/>
      <w:sz w:val="28"/>
      <w:szCs w:val="28"/>
    </w:rPr>
  </w:style>
  <w:style w:type="character" w:customStyle="1" w:styleId="73">
    <w:name w:val="标题 4 Char"/>
    <w:basedOn w:val="40"/>
    <w:link w:val="72"/>
    <w:autoRedefine/>
    <w:qFormat/>
    <w:uiPriority w:val="0"/>
    <w:rPr>
      <w:rFonts w:ascii="Arial" w:hAnsi="Arial" w:eastAsia="黑体" w:cs="Times New Roman"/>
      <w:b/>
      <w:bCs/>
      <w:sz w:val="28"/>
      <w:szCs w:val="28"/>
    </w:rPr>
  </w:style>
  <w:style w:type="paragraph" w:customStyle="1" w:styleId="74">
    <w:name w:val="正文文本缩进 21"/>
    <w:basedOn w:val="67"/>
    <w:link w:val="75"/>
    <w:autoRedefine/>
    <w:qFormat/>
    <w:uiPriority w:val="0"/>
    <w:pPr>
      <w:spacing w:after="120" w:line="480" w:lineRule="auto"/>
      <w:ind w:left="420" w:leftChars="200"/>
    </w:pPr>
    <w:rPr>
      <w:rFonts w:ascii="Times New Roman" w:hAnsi="Times New Roman" w:eastAsia="宋体"/>
    </w:rPr>
  </w:style>
  <w:style w:type="character" w:customStyle="1" w:styleId="75">
    <w:name w:val="正文文本缩进 2 Char"/>
    <w:basedOn w:val="40"/>
    <w:link w:val="74"/>
    <w:autoRedefine/>
    <w:qFormat/>
    <w:uiPriority w:val="0"/>
    <w:rPr>
      <w:rFonts w:ascii="Times New Roman" w:hAnsi="Times New Roman" w:eastAsia="宋体" w:cs="Times New Roman"/>
      <w:szCs w:val="24"/>
    </w:rPr>
  </w:style>
  <w:style w:type="paragraph" w:customStyle="1" w:styleId="76">
    <w:name w:val="Heading 3"/>
    <w:basedOn w:val="67"/>
    <w:next w:val="67"/>
    <w:link w:val="77"/>
    <w:autoRedefine/>
    <w:qFormat/>
    <w:uiPriority w:val="0"/>
    <w:pPr>
      <w:keepNext/>
      <w:keepLines/>
      <w:spacing w:before="120" w:after="120" w:line="400" w:lineRule="exact"/>
      <w:jc w:val="left"/>
      <w:outlineLvl w:val="2"/>
    </w:pPr>
    <w:rPr>
      <w:rFonts w:ascii="宋体" w:hAnsi="Times New Roman" w:eastAsia="宋体"/>
      <w:b/>
      <w:bCs/>
      <w:color w:val="FF0000"/>
      <w:sz w:val="24"/>
    </w:rPr>
  </w:style>
  <w:style w:type="character" w:customStyle="1" w:styleId="77">
    <w:name w:val="标题 3 Char"/>
    <w:basedOn w:val="40"/>
    <w:link w:val="76"/>
    <w:autoRedefine/>
    <w:qFormat/>
    <w:uiPriority w:val="0"/>
    <w:rPr>
      <w:rFonts w:ascii="宋体" w:hAnsi="Times New Roman" w:eastAsia="宋体" w:cs="Times New Roman"/>
      <w:b/>
      <w:bCs/>
      <w:color w:val="FF0000"/>
      <w:sz w:val="24"/>
      <w:szCs w:val="24"/>
    </w:rPr>
  </w:style>
  <w:style w:type="paragraph" w:customStyle="1" w:styleId="78">
    <w:name w:val="样式 标题 3 + (中文) 黑体 小四 非加粗 段前: 7.8 磅 段后: 0 磅 行距: 固定值 20 磅_0"/>
    <w:basedOn w:val="76"/>
    <w:autoRedefine/>
    <w:qFormat/>
    <w:uiPriority w:val="0"/>
    <w:pPr>
      <w:spacing w:before="0" w:after="0"/>
    </w:pPr>
    <w:rPr>
      <w:rFonts w:eastAsia="黑体" w:cs="宋体"/>
      <w:b w:val="0"/>
      <w:bCs w:val="0"/>
      <w:szCs w:val="20"/>
    </w:rPr>
  </w:style>
  <w:style w:type="paragraph" w:customStyle="1" w:styleId="79">
    <w:name w:val="Heading 1"/>
    <w:basedOn w:val="80"/>
    <w:next w:val="80"/>
    <w:link w:val="81"/>
    <w:autoRedefine/>
    <w:qFormat/>
    <w:uiPriority w:val="0"/>
    <w:pPr>
      <w:keepNext/>
      <w:keepLines/>
      <w:spacing w:before="340" w:after="330" w:line="578" w:lineRule="auto"/>
      <w:outlineLvl w:val="0"/>
    </w:pPr>
    <w:rPr>
      <w:b/>
      <w:bCs/>
      <w:kern w:val="44"/>
      <w:sz w:val="44"/>
      <w:szCs w:val="44"/>
    </w:rPr>
  </w:style>
  <w:style w:type="paragraph" w:customStyle="1" w:styleId="80">
    <w:name w:val="Normal_2"/>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81">
    <w:name w:val="标题 1 Char_0"/>
    <w:basedOn w:val="40"/>
    <w:link w:val="79"/>
    <w:autoRedefine/>
    <w:qFormat/>
    <w:uiPriority w:val="0"/>
    <w:rPr>
      <w:rFonts w:ascii="Times New Roman" w:hAnsi="Times New Roman" w:eastAsia="宋体" w:cs="Times New Roman"/>
      <w:b/>
      <w:bCs/>
      <w:kern w:val="44"/>
      <w:sz w:val="44"/>
      <w:szCs w:val="44"/>
    </w:rPr>
  </w:style>
  <w:style w:type="paragraph" w:customStyle="1" w:styleId="82">
    <w:name w:val="Body Text_1"/>
    <w:basedOn w:val="80"/>
    <w:link w:val="83"/>
    <w:autoRedefine/>
    <w:qFormat/>
    <w:uiPriority w:val="0"/>
    <w:pPr>
      <w:spacing w:after="120"/>
    </w:pPr>
  </w:style>
  <w:style w:type="character" w:customStyle="1" w:styleId="83">
    <w:name w:val="正文文本 Char_1"/>
    <w:basedOn w:val="40"/>
    <w:link w:val="82"/>
    <w:autoRedefine/>
    <w:qFormat/>
    <w:uiPriority w:val="0"/>
    <w:rPr>
      <w:rFonts w:ascii="Times New Roman" w:hAnsi="Times New Roman" w:eastAsia="宋体" w:cs="Times New Roman"/>
      <w:szCs w:val="24"/>
    </w:rPr>
  </w:style>
  <w:style w:type="paragraph" w:customStyle="1" w:styleId="84">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85">
    <w:name w:val="Normal_4"/>
    <w:autoRedefine/>
    <w:qFormat/>
    <w:uiPriority w:val="0"/>
    <w:rPr>
      <w:rFonts w:ascii="Times New Roman" w:hAnsi="Times New Roman" w:eastAsia="Times New Roman" w:cs="Times New Roman"/>
      <w:sz w:val="24"/>
      <w:szCs w:val="24"/>
      <w:lang w:val="en-US" w:eastAsia="zh-CN" w:bidi="ar-SA"/>
    </w:rPr>
  </w:style>
  <w:style w:type="paragraph" w:customStyle="1" w:styleId="86">
    <w:name w:val="Normal_5"/>
    <w:autoRedefine/>
    <w:qFormat/>
    <w:uiPriority w:val="0"/>
    <w:rPr>
      <w:rFonts w:ascii="Times New Roman" w:hAnsi="Times New Roman" w:eastAsia="Times New Roman" w:cs="Times New Roman"/>
      <w:sz w:val="24"/>
      <w:szCs w:val="24"/>
      <w:lang w:val="en-US" w:eastAsia="zh-CN" w:bidi="ar-SA"/>
    </w:rPr>
  </w:style>
  <w:style w:type="paragraph" w:customStyle="1" w:styleId="87">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88">
    <w:name w:val="Normal_7"/>
    <w:autoRedefine/>
    <w:qFormat/>
    <w:uiPriority w:val="0"/>
    <w:rPr>
      <w:rFonts w:ascii="Times New Roman" w:hAnsi="Times New Roman" w:eastAsia="Times New Roman" w:cs="Times New Roman"/>
      <w:sz w:val="24"/>
      <w:szCs w:val="24"/>
      <w:lang w:val="en-US" w:eastAsia="zh-CN" w:bidi="ar-SA"/>
    </w:rPr>
  </w:style>
  <w:style w:type="paragraph" w:customStyle="1" w:styleId="8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Normal_0_0"/>
    <w:autoRedefine/>
    <w:qFormat/>
    <w:uiPriority w:val="0"/>
    <w:rPr>
      <w:rFonts w:ascii="Times New Roman" w:hAnsi="Times New Roman" w:eastAsia="Times New Roman" w:cs="Times New Roman"/>
      <w:sz w:val="24"/>
      <w:szCs w:val="24"/>
      <w:lang w:val="en-US" w:eastAsia="zh-CN" w:bidi="ar-SA"/>
    </w:rPr>
  </w:style>
  <w:style w:type="paragraph" w:customStyle="1" w:styleId="91">
    <w:name w:val="Heading 2_0"/>
    <w:basedOn w:val="92"/>
    <w:next w:val="92"/>
    <w:link w:val="93"/>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92">
    <w:name w:val="Normal_1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3">
    <w:name w:val="标题 2 Char_1"/>
    <w:link w:val="91"/>
    <w:autoRedefine/>
    <w:qFormat/>
    <w:uiPriority w:val="0"/>
    <w:rPr>
      <w:rFonts w:ascii="Arial" w:hAnsi="Arial" w:eastAsia="黑体"/>
      <w:b/>
      <w:bCs/>
      <w:kern w:val="2"/>
      <w:sz w:val="32"/>
      <w:szCs w:val="32"/>
    </w:rPr>
  </w:style>
  <w:style w:type="paragraph" w:customStyle="1" w:styleId="94">
    <w:name w:val="样式 标题 3 + (中文) 黑体 小四 非加粗 段前: 7.8 磅 段后: 0 磅 行距: 固定值 20 磅_1"/>
    <w:basedOn w:val="95"/>
    <w:autoRedefine/>
    <w:qFormat/>
    <w:uiPriority w:val="0"/>
    <w:pPr>
      <w:spacing w:before="0" w:after="0" w:line="400" w:lineRule="exact"/>
      <w:jc w:val="left"/>
    </w:pPr>
    <w:rPr>
      <w:rFonts w:ascii="宋体" w:hAnsi="Times New Roman" w:eastAsia="黑体" w:cs="宋体"/>
      <w:b w:val="0"/>
      <w:bCs w:val="0"/>
      <w:color w:val="FF0000"/>
      <w:sz w:val="24"/>
      <w:szCs w:val="20"/>
    </w:rPr>
  </w:style>
  <w:style w:type="paragraph" w:customStyle="1" w:styleId="95">
    <w:name w:val="Heading 3_0"/>
    <w:basedOn w:val="92"/>
    <w:next w:val="92"/>
    <w:link w:val="96"/>
    <w:autoRedefine/>
    <w:semiHidden/>
    <w:unhideWhenUsed/>
    <w:qFormat/>
    <w:uiPriority w:val="9"/>
    <w:pPr>
      <w:keepNext/>
      <w:keepLines/>
      <w:spacing w:before="260" w:after="260" w:line="416" w:lineRule="auto"/>
      <w:outlineLvl w:val="2"/>
    </w:pPr>
    <w:rPr>
      <w:b/>
      <w:bCs/>
      <w:sz w:val="32"/>
      <w:szCs w:val="32"/>
    </w:rPr>
  </w:style>
  <w:style w:type="character" w:customStyle="1" w:styleId="96">
    <w:name w:val="标题 3 Char_0"/>
    <w:link w:val="95"/>
    <w:autoRedefine/>
    <w:semiHidden/>
    <w:qFormat/>
    <w:uiPriority w:val="9"/>
    <w:rPr>
      <w:b/>
      <w:bCs/>
      <w:kern w:val="2"/>
      <w:sz w:val="32"/>
      <w:szCs w:val="32"/>
    </w:rPr>
  </w:style>
  <w:style w:type="paragraph" w:customStyle="1" w:styleId="97">
    <w:name w:val="Normal_2_0"/>
    <w:autoRedefine/>
    <w:qFormat/>
    <w:uiPriority w:val="0"/>
    <w:rPr>
      <w:rFonts w:ascii="Times New Roman" w:hAnsi="Times New Roman" w:eastAsia="Times New Roman" w:cs="Times New Roman"/>
      <w:sz w:val="24"/>
      <w:szCs w:val="24"/>
      <w:lang w:val="en-US" w:eastAsia="zh-CN" w:bidi="ar-SA"/>
    </w:rPr>
  </w:style>
  <w:style w:type="paragraph" w:customStyle="1" w:styleId="9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3_0"/>
    <w:autoRedefine/>
    <w:qFormat/>
    <w:uiPriority w:val="0"/>
    <w:rPr>
      <w:rFonts w:ascii="Times New Roman" w:hAnsi="Times New Roman" w:eastAsia="Times New Roman" w:cs="Times New Roman"/>
      <w:sz w:val="24"/>
      <w:szCs w:val="24"/>
      <w:lang w:val="en-US" w:eastAsia="zh-CN" w:bidi="ar-SA"/>
    </w:rPr>
  </w:style>
  <w:style w:type="paragraph" w:customStyle="1" w:styleId="10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4_0"/>
    <w:autoRedefine/>
    <w:qFormat/>
    <w:uiPriority w:val="0"/>
    <w:rPr>
      <w:rFonts w:ascii="Times New Roman" w:hAnsi="Times New Roman" w:eastAsia="Times New Roman" w:cs="Times New Roman"/>
      <w:sz w:val="24"/>
      <w:szCs w:val="24"/>
      <w:lang w:val="en-US" w:eastAsia="zh-CN" w:bidi="ar-SA"/>
    </w:rPr>
  </w:style>
  <w:style w:type="paragraph" w:customStyle="1" w:styleId="10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Normal_5_0"/>
    <w:autoRedefine/>
    <w:qFormat/>
    <w:uiPriority w:val="0"/>
    <w:rPr>
      <w:rFonts w:ascii="Times New Roman" w:hAnsi="Times New Roman" w:eastAsia="Times New Roman" w:cs="Times New Roman"/>
      <w:sz w:val="24"/>
      <w:szCs w:val="24"/>
      <w:lang w:val="en-US" w:eastAsia="zh-CN" w:bidi="ar-SA"/>
    </w:rPr>
  </w:style>
  <w:style w:type="paragraph" w:customStyle="1" w:styleId="10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样式 标题 3 + (中文) 黑体 小四 非加粗 段前: 7.8 磅 段后: 0 磅 行距: 固定值 20 磅_0_0"/>
    <w:basedOn w:val="106"/>
    <w:autoRedefine/>
    <w:qFormat/>
    <w:uiPriority w:val="0"/>
    <w:pPr>
      <w:spacing w:before="0" w:after="0" w:line="400" w:lineRule="exact"/>
      <w:jc w:val="left"/>
    </w:pPr>
    <w:rPr>
      <w:rFonts w:ascii="宋体" w:hAnsi="Times New Roman" w:eastAsia="黑体" w:cs="宋体"/>
      <w:b w:val="0"/>
      <w:bCs w:val="0"/>
      <w:color w:val="FF0000"/>
      <w:sz w:val="24"/>
      <w:szCs w:val="20"/>
    </w:rPr>
  </w:style>
  <w:style w:type="paragraph" w:customStyle="1" w:styleId="106">
    <w:name w:val="标题 3_0"/>
    <w:basedOn w:val="104"/>
    <w:next w:val="104"/>
    <w:link w:val="107"/>
    <w:autoRedefine/>
    <w:semiHidden/>
    <w:unhideWhenUsed/>
    <w:qFormat/>
    <w:uiPriority w:val="9"/>
    <w:pPr>
      <w:keepNext/>
      <w:keepLines/>
      <w:spacing w:before="260" w:after="260" w:line="416" w:lineRule="auto"/>
      <w:outlineLvl w:val="2"/>
    </w:pPr>
    <w:rPr>
      <w:b/>
      <w:bCs/>
      <w:sz w:val="32"/>
      <w:szCs w:val="32"/>
    </w:rPr>
  </w:style>
  <w:style w:type="character" w:customStyle="1" w:styleId="107">
    <w:name w:val="标题 3 Char_0_0"/>
    <w:link w:val="106"/>
    <w:autoRedefine/>
    <w:semiHidden/>
    <w:qFormat/>
    <w:uiPriority w:val="9"/>
    <w:rPr>
      <w:b/>
      <w:bCs/>
      <w:kern w:val="2"/>
      <w:sz w:val="32"/>
      <w:szCs w:val="32"/>
    </w:rPr>
  </w:style>
  <w:style w:type="paragraph" w:customStyle="1" w:styleId="108">
    <w:name w:val="Normal_6_0"/>
    <w:autoRedefine/>
    <w:qFormat/>
    <w:uiPriority w:val="0"/>
    <w:rPr>
      <w:rFonts w:ascii="Times New Roman" w:hAnsi="Times New Roman" w:eastAsia="Times New Roman" w:cs="Times New Roman"/>
      <w:sz w:val="24"/>
      <w:szCs w:val="24"/>
      <w:lang w:val="en-US" w:eastAsia="zh-CN" w:bidi="ar-SA"/>
    </w:rPr>
  </w:style>
  <w:style w:type="paragraph" w:customStyle="1" w:styleId="109">
    <w:name w:val="Normal_7_0"/>
    <w:autoRedefine/>
    <w:qFormat/>
    <w:uiPriority w:val="0"/>
    <w:rPr>
      <w:rFonts w:ascii="Times New Roman" w:hAnsi="Times New Roman" w:eastAsia="Times New Roman" w:cs="Times New Roman"/>
      <w:sz w:val="24"/>
      <w:szCs w:val="24"/>
      <w:lang w:val="en-US" w:eastAsia="zh-CN" w:bidi="ar-SA"/>
    </w:rPr>
  </w:style>
  <w:style w:type="paragraph" w:customStyle="1" w:styleId="11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Normal_23"/>
    <w:autoRedefine/>
    <w:qFormat/>
    <w:uiPriority w:val="0"/>
    <w:rPr>
      <w:rFonts w:ascii="Times New Roman" w:hAnsi="Times New Roman" w:eastAsia="Times New Roman" w:cs="Times New Roman"/>
      <w:sz w:val="24"/>
      <w:szCs w:val="24"/>
      <w:lang w:val="en-US" w:eastAsia="zh-CN" w:bidi="ar-SA"/>
    </w:rPr>
  </w:style>
  <w:style w:type="paragraph" w:customStyle="1" w:styleId="112">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113">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Normal_9"/>
    <w:autoRedefine/>
    <w:qFormat/>
    <w:uiPriority w:val="0"/>
    <w:rPr>
      <w:rFonts w:ascii="Times New Roman" w:hAnsi="Times New Roman" w:eastAsia="Times New Roman" w:cs="Times New Roman"/>
      <w:sz w:val="24"/>
      <w:szCs w:val="24"/>
      <w:lang w:val="en-US" w:eastAsia="zh-CN" w:bidi="ar-SA"/>
    </w:rPr>
  </w:style>
  <w:style w:type="paragraph" w:customStyle="1" w:styleId="115">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Normal_10"/>
    <w:autoRedefine/>
    <w:qFormat/>
    <w:uiPriority w:val="0"/>
    <w:rPr>
      <w:rFonts w:ascii="Times New Roman" w:hAnsi="Times New Roman" w:eastAsia="Times New Roman" w:cs="Times New Roman"/>
      <w:sz w:val="24"/>
      <w:szCs w:val="24"/>
      <w:lang w:val="en-US" w:eastAsia="zh-CN" w:bidi="ar-SA"/>
    </w:rPr>
  </w:style>
  <w:style w:type="paragraph" w:customStyle="1" w:styleId="117">
    <w:name w:val="Normal_11"/>
    <w:autoRedefine/>
    <w:qFormat/>
    <w:uiPriority w:val="0"/>
    <w:rPr>
      <w:rFonts w:ascii="Times New Roman" w:hAnsi="Times New Roman" w:eastAsia="Times New Roman" w:cs="Times New Roman"/>
      <w:sz w:val="24"/>
      <w:szCs w:val="24"/>
      <w:lang w:val="en-US" w:eastAsia="zh-CN" w:bidi="ar-SA"/>
    </w:rPr>
  </w:style>
  <w:style w:type="paragraph" w:customStyle="1" w:styleId="118">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2"/>
    <w:autoRedefine/>
    <w:qFormat/>
    <w:uiPriority w:val="0"/>
    <w:rPr>
      <w:rFonts w:ascii="Times New Roman" w:hAnsi="Times New Roman" w:eastAsia="Times New Roman" w:cs="Times New Roman"/>
      <w:sz w:val="24"/>
      <w:szCs w:val="24"/>
      <w:lang w:val="en-US" w:eastAsia="zh-CN" w:bidi="ar-SA"/>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122">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Normal_14"/>
    <w:autoRedefine/>
    <w:qFormat/>
    <w:uiPriority w:val="0"/>
    <w:rPr>
      <w:rFonts w:ascii="Times New Roman" w:hAnsi="Times New Roman" w:eastAsia="Times New Roman" w:cs="Times New Roman"/>
      <w:sz w:val="24"/>
      <w:szCs w:val="24"/>
      <w:lang w:val="en-US" w:eastAsia="zh-CN" w:bidi="ar-SA"/>
    </w:rPr>
  </w:style>
  <w:style w:type="paragraph" w:customStyle="1" w:styleId="12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Normal_16"/>
    <w:autoRedefine/>
    <w:qFormat/>
    <w:uiPriority w:val="0"/>
    <w:rPr>
      <w:rFonts w:ascii="Times New Roman" w:hAnsi="Times New Roman" w:eastAsia="Times New Roman" w:cs="Times New Roman"/>
      <w:sz w:val="24"/>
      <w:szCs w:val="24"/>
      <w:lang w:val="en-US" w:eastAsia="zh-CN" w:bidi="ar-SA"/>
    </w:rPr>
  </w:style>
  <w:style w:type="paragraph" w:customStyle="1" w:styleId="126">
    <w:name w:val="Normal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Normal_18"/>
    <w:autoRedefine/>
    <w:qFormat/>
    <w:uiPriority w:val="0"/>
    <w:rPr>
      <w:rFonts w:ascii="Times New Roman" w:hAnsi="Times New Roman" w:eastAsia="Times New Roman" w:cs="Times New Roman"/>
      <w:sz w:val="24"/>
      <w:szCs w:val="24"/>
      <w:lang w:val="en-US" w:eastAsia="zh-CN" w:bidi="ar-SA"/>
    </w:rPr>
  </w:style>
  <w:style w:type="paragraph" w:customStyle="1" w:styleId="128">
    <w:name w:val="样式 标题 2 + Times New Roman 四号 非加粗 段前: 5 磅 段后: 0 磅 行距: 固定值 20..._0"/>
    <w:basedOn w:val="129"/>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29">
    <w:name w:val="标题 2_0"/>
    <w:basedOn w:val="130"/>
    <w:next w:val="130"/>
    <w:link w:val="131"/>
    <w:autoRedefine/>
    <w:semiHidden/>
    <w:unhideWhenUsed/>
    <w:qFormat/>
    <w:uiPriority w:val="9"/>
    <w:pPr>
      <w:keepNext/>
      <w:keepLines/>
      <w:spacing w:before="260" w:after="260" w:line="416" w:lineRule="auto"/>
      <w:outlineLvl w:val="1"/>
    </w:pPr>
    <w:rPr>
      <w:rFonts w:ascii="Cambria" w:hAnsi="Cambria"/>
      <w:b/>
      <w:bCs/>
      <w:sz w:val="32"/>
      <w:szCs w:val="32"/>
    </w:rPr>
  </w:style>
  <w:style w:type="paragraph" w:customStyle="1" w:styleId="13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标题 2 Char_0_0"/>
    <w:link w:val="129"/>
    <w:autoRedefine/>
    <w:semiHidden/>
    <w:qFormat/>
    <w:uiPriority w:val="9"/>
    <w:rPr>
      <w:rFonts w:ascii="Cambria" w:hAnsi="Cambria" w:eastAsia="宋体" w:cs="Times New Roman"/>
      <w:b/>
      <w:bCs/>
      <w:sz w:val="32"/>
      <w:szCs w:val="32"/>
    </w:rPr>
  </w:style>
  <w:style w:type="paragraph" w:customStyle="1" w:styleId="132">
    <w:name w:val="Normal_19"/>
    <w:autoRedefine/>
    <w:qFormat/>
    <w:uiPriority w:val="0"/>
    <w:rPr>
      <w:rFonts w:ascii="Times New Roman" w:hAnsi="Times New Roman" w:eastAsia="Times New Roman" w:cs="Times New Roman"/>
      <w:sz w:val="24"/>
      <w:szCs w:val="24"/>
      <w:lang w:val="en-US" w:eastAsia="zh-CN" w:bidi="ar-SA"/>
    </w:rPr>
  </w:style>
  <w:style w:type="paragraph" w:customStyle="1" w:styleId="13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13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Normal_21"/>
    <w:autoRedefine/>
    <w:qFormat/>
    <w:uiPriority w:val="0"/>
    <w:rPr>
      <w:rFonts w:ascii="Times New Roman" w:hAnsi="Times New Roman" w:eastAsia="Times New Roman" w:cs="Times New Roman"/>
      <w:sz w:val="24"/>
      <w:szCs w:val="24"/>
      <w:lang w:val="en-US" w:eastAsia="zh-CN" w:bidi="ar-SA"/>
    </w:rPr>
  </w:style>
  <w:style w:type="paragraph" w:customStyle="1" w:styleId="137">
    <w:name w:val="Normal_22"/>
    <w:autoRedefine/>
    <w:qFormat/>
    <w:uiPriority w:val="0"/>
    <w:rPr>
      <w:rFonts w:ascii="Times New Roman" w:hAnsi="Times New Roman" w:eastAsia="Times New Roman" w:cs="Times New Roman"/>
      <w:sz w:val="24"/>
      <w:szCs w:val="24"/>
      <w:lang w:val="en-US" w:eastAsia="zh-CN" w:bidi="ar-SA"/>
    </w:rPr>
  </w:style>
  <w:style w:type="paragraph" w:customStyle="1" w:styleId="138">
    <w:name w:val="Normal_24"/>
    <w:autoRedefine/>
    <w:qFormat/>
    <w:uiPriority w:val="0"/>
    <w:rPr>
      <w:rFonts w:ascii="Times New Roman" w:hAnsi="Times New Roman" w:eastAsia="Times New Roman" w:cs="Times New Roman"/>
      <w:sz w:val="24"/>
      <w:szCs w:val="24"/>
      <w:lang w:val="en-US" w:eastAsia="zh-CN" w:bidi="ar-SA"/>
    </w:rPr>
  </w:style>
  <w:style w:type="paragraph" w:customStyle="1" w:styleId="139">
    <w:name w:val="Table Text"/>
    <w:basedOn w:val="1"/>
    <w:autoRedefine/>
    <w:semiHidden/>
    <w:qFormat/>
    <w:uiPriority w:val="0"/>
    <w:rPr>
      <w:rFonts w:ascii="宋体" w:hAnsi="宋体" w:eastAsia="宋体" w:cs="宋体"/>
      <w:sz w:val="21"/>
      <w:szCs w:val="21"/>
      <w:lang w:val="en-US" w:eastAsia="en-US" w:bidi="ar-SA"/>
    </w:rPr>
  </w:style>
  <w:style w:type="table" w:customStyle="1" w:styleId="140">
    <w:name w:val="Table Normal"/>
    <w:autoRedefine/>
    <w:semiHidden/>
    <w:unhideWhenUsed/>
    <w:qFormat/>
    <w:uiPriority w:val="0"/>
    <w:tblPr>
      <w:tblCellMar>
        <w:top w:w="0" w:type="dxa"/>
        <w:left w:w="0" w:type="dxa"/>
        <w:bottom w:w="0" w:type="dxa"/>
        <w:right w:w="0" w:type="dxa"/>
      </w:tblCellMar>
    </w:tblPr>
  </w:style>
  <w:style w:type="paragraph" w:customStyle="1" w:styleId="1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2">
    <w:name w:val="Footer_0"/>
    <w:basedOn w:val="67"/>
    <w:autoRedefine/>
    <w:unhideWhenUsed/>
    <w:qFormat/>
    <w:uiPriority w:val="99"/>
    <w:pPr>
      <w:tabs>
        <w:tab w:val="center" w:pos="4153"/>
        <w:tab w:val="right" w:pos="8306"/>
      </w:tabs>
      <w:snapToGrid w:val="0"/>
      <w:jc w:val="left"/>
    </w:pPr>
    <w:rPr>
      <w:sz w:val="18"/>
      <w:szCs w:val="18"/>
    </w:rPr>
  </w:style>
  <w:style w:type="paragraph" w:customStyle="1" w:styleId="143">
    <w:name w:val="Body text|1"/>
    <w:basedOn w:val="1"/>
    <w:autoRedefine/>
    <w:qFormat/>
    <w:uiPriority w:val="0"/>
    <w:pPr>
      <w:spacing w:line="343" w:lineRule="auto"/>
      <w:ind w:firstLine="400"/>
    </w:pPr>
    <w:rPr>
      <w:rFonts w:ascii="宋体" w:hAnsi="宋体" w:cs="宋体"/>
      <w:sz w:val="20"/>
      <w:szCs w:val="20"/>
      <w:lang w:val="zh-TW" w:eastAsia="zh-TW" w:bidi="zh-TW"/>
    </w:rPr>
  </w:style>
  <w:style w:type="paragraph" w:customStyle="1" w:styleId="144">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45">
    <w:name w:val="font01"/>
    <w:basedOn w:val="40"/>
    <w:autoRedefine/>
    <w:qFormat/>
    <w:uiPriority w:val="0"/>
    <w:rPr>
      <w:rFonts w:hint="eastAsia" w:ascii="宋体" w:hAnsi="宋体" w:eastAsia="宋体" w:cs="宋体"/>
      <w:color w:val="000000"/>
      <w:sz w:val="24"/>
      <w:szCs w:val="24"/>
      <w:u w:val="none"/>
    </w:rPr>
  </w:style>
  <w:style w:type="character" w:customStyle="1" w:styleId="146">
    <w:name w:val="font11"/>
    <w:basedOn w:val="40"/>
    <w:autoRedefine/>
    <w:qFormat/>
    <w:uiPriority w:val="0"/>
    <w:rPr>
      <w:rFonts w:hint="default" w:ascii="Times New Roman" w:hAnsi="Times New Roman" w:cs="Times New Roman"/>
      <w:color w:val="000000"/>
      <w:sz w:val="24"/>
      <w:szCs w:val="24"/>
      <w:u w:val="none"/>
    </w:rPr>
  </w:style>
  <w:style w:type="character" w:customStyle="1" w:styleId="147">
    <w:name w:val="font51"/>
    <w:basedOn w:val="40"/>
    <w:autoRedefine/>
    <w:qFormat/>
    <w:uiPriority w:val="0"/>
    <w:rPr>
      <w:rFonts w:hint="eastAsia" w:ascii="宋体" w:hAnsi="宋体" w:eastAsia="宋体" w:cs="宋体"/>
      <w:color w:val="000000"/>
      <w:sz w:val="24"/>
      <w:szCs w:val="24"/>
      <w:u w:val="none"/>
      <w:vertAlign w:val="superscript"/>
    </w:rPr>
  </w:style>
  <w:style w:type="character" w:customStyle="1" w:styleId="148">
    <w:name w:val="font61"/>
    <w:basedOn w:val="40"/>
    <w:autoRedefine/>
    <w:qFormat/>
    <w:uiPriority w:val="0"/>
    <w:rPr>
      <w:rFonts w:hint="default" w:ascii="Times New Roman" w:hAnsi="Times New Roman" w:cs="Times New Roman"/>
      <w:color w:val="000000"/>
      <w:sz w:val="24"/>
      <w:szCs w:val="24"/>
      <w:u w:val="none"/>
      <w:vertAlign w:val="superscript"/>
    </w:rPr>
  </w:style>
  <w:style w:type="character" w:customStyle="1" w:styleId="149">
    <w:name w:val="font71"/>
    <w:basedOn w:val="40"/>
    <w:autoRedefine/>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9D8AB-C3F9-4818-87B6-CADD09A151F1}">
  <ds:schemaRefs/>
</ds:datastoreItem>
</file>

<file path=docProps/app.xml><?xml version="1.0" encoding="utf-8"?>
<Properties xmlns="http://schemas.openxmlformats.org/officeDocument/2006/extended-properties" xmlns:vt="http://schemas.openxmlformats.org/officeDocument/2006/docPropsVTypes">
  <Template>Normal.dotm</Template>
  <Company>安徽安兆工程技术咨询服务中心</Company>
  <Pages>152</Pages>
  <Words>41291</Words>
  <Characters>51614</Characters>
  <Lines>2244</Lines>
  <Paragraphs>2322</Paragraphs>
  <TotalTime>3</TotalTime>
  <ScaleCrop>false</ScaleCrop>
  <LinksUpToDate>false</LinksUpToDate>
  <CharactersWithSpaces>90583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2023-09-26T05:49:00Z</dcterms:created>
  <dc:creator>j</dc:creator>
  <cp:lastModifiedBy>WPS_1178201425</cp:lastModifiedBy>
  <cp:lastPrinted>2113-01-01T00:00:00Z</cp:lastPrinted>
  <dcterms:modified xsi:type="dcterms:W3CDTF">2024-03-28T08:07:46Z</dcterms:modified>
  <dc:title>水利水电工程标准施工招标文件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E13DA8FFE75E42738B00C49510B8C670_12</vt:lpwstr>
  </property>
</Properties>
</file>