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hanging="720" w:hangingChars="200"/>
        <w:rPr>
          <w:rFonts w:hint="eastAsia" w:ascii="宋体" w:hAnsi="宋体" w:eastAsia="宋体" w:cs="宋体"/>
          <w:b/>
          <w:bCs/>
          <w:color w:val="auto"/>
          <w:sz w:val="84"/>
          <w:highlight w:val="none"/>
        </w:rPr>
      </w:pPr>
      <w:r>
        <w:rPr>
          <w:rFonts w:hint="eastAsia" w:ascii="宋体" w:hAnsi="宋体" w:eastAsia="宋体" w:cs="宋体"/>
          <w:color w:val="auto"/>
          <w:sz w:val="36"/>
          <w:highlight w:val="none"/>
        </w:rPr>
        <w:t xml:space="preserve"> </w:t>
      </w:r>
    </w:p>
    <w:p>
      <w:pPr>
        <w:pStyle w:val="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jc w:val="center"/>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招 标 文 件</w:t>
      </w:r>
    </w:p>
    <w:p>
      <w:pPr>
        <w:tabs>
          <w:tab w:val="left" w:pos="5408"/>
        </w:tabs>
        <w:spacing w:line="360" w:lineRule="auto"/>
        <w:jc w:val="left"/>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ab/>
      </w:r>
    </w:p>
    <w:p>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eastAsia="宋体" w:cs="宋体"/>
          <w:b/>
          <w:bCs/>
          <w:color w:val="auto"/>
          <w:sz w:val="32"/>
          <w:szCs w:val="32"/>
          <w:highlight w:val="none"/>
          <w:lang w:eastAsia="zh-CN"/>
        </w:rPr>
        <w:t>LNGX-2403004</w:t>
      </w:r>
    </w:p>
    <w:p>
      <w:pPr>
        <w:spacing w:line="360" w:lineRule="auto"/>
        <w:ind w:right="1016" w:rightChars="484"/>
        <w:rPr>
          <w:rFonts w:hint="eastAsia" w:ascii="宋体" w:hAnsi="宋体" w:eastAsia="宋体" w:cs="宋体"/>
          <w:b/>
          <w:bCs/>
          <w:color w:val="auto"/>
          <w:sz w:val="32"/>
          <w:szCs w:val="32"/>
          <w:highlight w:val="none"/>
        </w:rPr>
      </w:pPr>
    </w:p>
    <w:p>
      <w:pPr>
        <w:spacing w:line="360" w:lineRule="auto"/>
        <w:ind w:left="1417" w:right="42" w:rightChars="20" w:hanging="1417" w:hangingChars="441"/>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2"/>
          <w:szCs w:val="32"/>
          <w:highlight w:val="none"/>
        </w:rPr>
        <w:t>项目名称：</w:t>
      </w:r>
      <w:r>
        <w:rPr>
          <w:rFonts w:hint="eastAsia" w:ascii="宋体" w:hAnsi="宋体" w:eastAsia="宋体" w:cs="宋体"/>
          <w:b/>
          <w:color w:val="auto"/>
          <w:kern w:val="0"/>
          <w:sz w:val="30"/>
          <w:szCs w:val="30"/>
          <w:highlight w:val="none"/>
          <w:lang w:eastAsia="zh-CN"/>
        </w:rPr>
        <w:t>辽宁省营口市海洋生态保护修复工程项目实施方案编制服务</w:t>
      </w:r>
    </w:p>
    <w:p>
      <w:pPr>
        <w:spacing w:line="360" w:lineRule="auto"/>
        <w:jc w:val="center"/>
        <w:rPr>
          <w:rFonts w:hint="eastAsia" w:ascii="宋体" w:hAnsi="宋体" w:eastAsia="宋体" w:cs="宋体"/>
          <w:b/>
          <w:color w:val="auto"/>
          <w:sz w:val="28"/>
          <w:szCs w:val="28"/>
          <w:highlight w:val="none"/>
        </w:rPr>
      </w:pPr>
    </w:p>
    <w:p>
      <w:pPr>
        <w:spacing w:line="360" w:lineRule="auto"/>
        <w:ind w:left="1417" w:right="42" w:rightChars="20" w:hanging="1417" w:hangingChars="441"/>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招标人：</w:t>
      </w:r>
      <w:r>
        <w:rPr>
          <w:rFonts w:hint="eastAsia" w:ascii="宋体" w:hAnsi="宋体" w:eastAsia="宋体" w:cs="宋体"/>
          <w:b/>
          <w:color w:val="auto"/>
          <w:kern w:val="0"/>
          <w:sz w:val="32"/>
          <w:szCs w:val="32"/>
          <w:highlight w:val="none"/>
          <w:lang w:eastAsia="zh-CN"/>
        </w:rPr>
        <w:t>营口市自然资源局</w:t>
      </w:r>
    </w:p>
    <w:p>
      <w:pPr>
        <w:spacing w:line="360" w:lineRule="auto"/>
        <w:ind w:left="1417" w:right="42" w:rightChars="20" w:hanging="1417" w:hangingChars="44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招标代理机构：辽宁国信建设工程管理有限公司</w:t>
      </w:r>
    </w:p>
    <w:p>
      <w:pPr>
        <w:spacing w:line="360" w:lineRule="auto"/>
        <w:rPr>
          <w:rFonts w:hint="eastAsia" w:ascii="宋体" w:hAnsi="宋体" w:eastAsia="宋体" w:cs="宋体"/>
          <w:color w:val="auto"/>
          <w:szCs w:val="24"/>
          <w:highlight w:val="none"/>
        </w:rPr>
      </w:pPr>
    </w:p>
    <w:p>
      <w:pPr>
        <w:spacing w:line="360" w:lineRule="auto"/>
        <w:rPr>
          <w:rFonts w:hint="eastAsia" w:ascii="宋体" w:hAnsi="宋体" w:eastAsia="宋体" w:cs="宋体"/>
          <w:color w:val="auto"/>
          <w:szCs w:val="24"/>
          <w:highlight w:val="none"/>
        </w:rPr>
      </w:pPr>
    </w:p>
    <w:p>
      <w:pPr>
        <w:spacing w:line="360" w:lineRule="auto"/>
        <w:jc w:val="center"/>
        <w:rPr>
          <w:rFonts w:hint="eastAsia" w:ascii="宋体" w:hAnsi="宋体" w:eastAsia="宋体" w:cs="宋体"/>
          <w:b/>
          <w:color w:val="auto"/>
          <w:sz w:val="36"/>
          <w:szCs w:val="28"/>
          <w:highlight w:val="none"/>
          <w:lang w:eastAsia="zh-CN"/>
        </w:rPr>
      </w:pPr>
      <w:r>
        <w:rPr>
          <w:rFonts w:hint="eastAsia" w:ascii="宋体" w:hAnsi="宋体" w:eastAsia="宋体" w:cs="宋体"/>
          <w:b/>
          <w:color w:val="auto"/>
          <w:sz w:val="28"/>
          <w:szCs w:val="28"/>
          <w:highlight w:val="none"/>
          <w:lang w:eastAsia="zh-CN"/>
        </w:rPr>
        <w:t>2024年3月</w:t>
      </w:r>
    </w:p>
    <w:p>
      <w:pPr>
        <w:spacing w:line="360" w:lineRule="auto"/>
        <w:jc w:val="center"/>
        <w:rPr>
          <w:rFonts w:hint="eastAsia" w:ascii="宋体" w:hAnsi="宋体" w:eastAsia="宋体" w:cs="宋体"/>
          <w:b/>
          <w:color w:val="auto"/>
          <w:sz w:val="36"/>
          <w:szCs w:val="28"/>
          <w:highlight w:val="none"/>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pPr>
        <w:autoSpaceDE w:val="0"/>
        <w:autoSpaceDN w:val="0"/>
        <w:adjustRightInd w:val="0"/>
        <w:spacing w:line="360" w:lineRule="auto"/>
        <w:jc w:val="center"/>
        <w:rPr>
          <w:rFonts w:hint="eastAsia" w:ascii="宋体" w:hAnsi="宋体" w:eastAsia="宋体" w:cs="宋体"/>
          <w:b/>
          <w:color w:val="auto"/>
          <w:sz w:val="32"/>
          <w:highlight w:val="none"/>
        </w:rPr>
      </w:pPr>
    </w:p>
    <w:p>
      <w:pPr>
        <w:spacing w:line="360" w:lineRule="auto"/>
        <w:rPr>
          <w:rFonts w:hint="eastAsia" w:ascii="宋体" w:hAnsi="宋体" w:eastAsia="宋体" w:cs="宋体"/>
          <w:color w:val="auto"/>
          <w:highlight w:val="none"/>
        </w:rPr>
      </w:pPr>
    </w:p>
    <w:p>
      <w:pPr>
        <w:pStyle w:val="19"/>
        <w:tabs>
          <w:tab w:val="right" w:leader="dot" w:pos="9355"/>
        </w:tabs>
      </w:pPr>
      <w:r>
        <w:rPr>
          <w:rFonts w:hint="eastAsia" w:ascii="宋体" w:hAnsi="宋体" w:eastAsia="宋体" w:cs="宋体"/>
          <w:color w:val="auto"/>
          <w:sz w:val="28"/>
          <w:szCs w:val="28"/>
          <w:highlight w:val="none"/>
        </w:rPr>
        <w:fldChar w:fldCharType="begin"/>
      </w:r>
      <w:r>
        <w:rPr>
          <w:rStyle w:val="29"/>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_Toc28643 </w:instrText>
      </w:r>
      <w:r>
        <w:rPr>
          <w:rFonts w:hint="eastAsia" w:ascii="宋体" w:hAnsi="宋体" w:eastAsia="宋体" w:cs="宋体"/>
          <w:szCs w:val="28"/>
          <w:highlight w:val="none"/>
        </w:rPr>
        <w:fldChar w:fldCharType="separate"/>
      </w:r>
      <w:r>
        <w:rPr>
          <w:rFonts w:hint="default" w:ascii="宋体" w:hAnsi="宋体" w:eastAsia="宋体" w:cs="宋体"/>
          <w:w w:val="90"/>
        </w:rPr>
        <w:t xml:space="preserve">第一章 </w:t>
      </w:r>
      <w:r>
        <w:rPr>
          <w:rFonts w:hint="eastAsia" w:ascii="宋体" w:hAnsi="宋体" w:eastAsia="宋体" w:cs="宋体"/>
          <w:highlight w:val="none"/>
        </w:rPr>
        <w:t>招标公告</w:t>
      </w:r>
      <w:r>
        <w:tab/>
      </w:r>
      <w:r>
        <w:fldChar w:fldCharType="begin"/>
      </w:r>
      <w:r>
        <w:instrText xml:space="preserve"> PAGEREF _Toc28643 \h </w:instrText>
      </w:r>
      <w:r>
        <w:fldChar w:fldCharType="separate"/>
      </w:r>
      <w:r>
        <w:t>3</w:t>
      </w:r>
      <w:r>
        <w:fldChar w:fldCharType="end"/>
      </w:r>
      <w:r>
        <w:rPr>
          <w:rFonts w:hint="eastAsia" w:ascii="宋体" w:hAnsi="宋体" w:eastAsia="宋体" w:cs="宋体"/>
          <w:color w:val="auto"/>
          <w:szCs w:val="28"/>
          <w:highlight w:val="none"/>
        </w:rPr>
        <w:fldChar w:fldCharType="end"/>
      </w:r>
    </w:p>
    <w:p>
      <w:pPr>
        <w:pStyle w:val="19"/>
        <w:tabs>
          <w:tab w:val="right" w:leader="dot" w:pos="9355"/>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_Toc24940 </w:instrText>
      </w:r>
      <w:r>
        <w:rPr>
          <w:rFonts w:hint="eastAsia" w:ascii="宋体" w:hAnsi="宋体" w:eastAsia="宋体" w:cs="宋体"/>
          <w:szCs w:val="28"/>
          <w:highlight w:val="none"/>
        </w:rPr>
        <w:fldChar w:fldCharType="separate"/>
      </w:r>
      <w:r>
        <w:rPr>
          <w:rFonts w:hint="default" w:ascii="宋体" w:hAnsi="宋体" w:eastAsia="宋体" w:cs="宋体"/>
          <w:w w:val="90"/>
        </w:rPr>
        <w:t xml:space="preserve">第二章 </w:t>
      </w:r>
      <w:r>
        <w:rPr>
          <w:rFonts w:hint="eastAsia" w:ascii="宋体" w:hAnsi="宋体" w:eastAsia="宋体" w:cs="宋体"/>
          <w:szCs w:val="24"/>
          <w:highlight w:val="none"/>
        </w:rPr>
        <w:t>投标人须知</w:t>
      </w:r>
      <w:r>
        <w:rPr>
          <w:rFonts w:hint="eastAsia" w:ascii="宋体" w:hAnsi="宋体" w:eastAsia="宋体" w:cs="宋体"/>
          <w:w w:val="90"/>
          <w:highlight w:val="none"/>
        </w:rPr>
        <w:t>前附表</w:t>
      </w:r>
      <w:r>
        <w:tab/>
      </w:r>
      <w:r>
        <w:fldChar w:fldCharType="begin"/>
      </w:r>
      <w:r>
        <w:instrText xml:space="preserve"> PAGEREF _Toc24940 \h </w:instrText>
      </w:r>
      <w:r>
        <w:fldChar w:fldCharType="separate"/>
      </w:r>
      <w:r>
        <w:t>6</w:t>
      </w:r>
      <w:r>
        <w:fldChar w:fldCharType="end"/>
      </w:r>
      <w:r>
        <w:rPr>
          <w:rFonts w:hint="eastAsia" w:ascii="宋体" w:hAnsi="宋体" w:eastAsia="宋体" w:cs="宋体"/>
          <w:color w:val="auto"/>
          <w:szCs w:val="28"/>
          <w:highlight w:val="none"/>
        </w:rPr>
        <w:fldChar w:fldCharType="end"/>
      </w:r>
    </w:p>
    <w:p>
      <w:pPr>
        <w:pStyle w:val="19"/>
        <w:tabs>
          <w:tab w:val="right" w:leader="dot" w:pos="9355"/>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_Toc22177 </w:instrText>
      </w:r>
      <w:r>
        <w:rPr>
          <w:rFonts w:hint="eastAsia" w:ascii="宋体" w:hAnsi="宋体" w:eastAsia="宋体" w:cs="宋体"/>
          <w:szCs w:val="28"/>
          <w:highlight w:val="none"/>
        </w:rPr>
        <w:fldChar w:fldCharType="separate"/>
      </w:r>
      <w:r>
        <w:rPr>
          <w:rFonts w:hint="default" w:ascii="宋体" w:hAnsi="宋体" w:eastAsia="宋体" w:cs="宋体"/>
          <w:w w:val="90"/>
        </w:rPr>
        <w:t xml:space="preserve">第三章 </w:t>
      </w:r>
      <w:r>
        <w:rPr>
          <w:rFonts w:hint="eastAsia" w:ascii="宋体" w:hAnsi="宋体" w:eastAsia="宋体" w:cs="宋体"/>
          <w:szCs w:val="24"/>
          <w:highlight w:val="none"/>
        </w:rPr>
        <w:t>投标人须知</w:t>
      </w:r>
      <w:r>
        <w:tab/>
      </w:r>
      <w:r>
        <w:fldChar w:fldCharType="begin"/>
      </w:r>
      <w:r>
        <w:instrText xml:space="preserve"> PAGEREF _Toc22177 \h </w:instrText>
      </w:r>
      <w:r>
        <w:fldChar w:fldCharType="separate"/>
      </w:r>
      <w:r>
        <w:t>10</w:t>
      </w:r>
      <w:r>
        <w:fldChar w:fldCharType="end"/>
      </w:r>
      <w:r>
        <w:rPr>
          <w:rFonts w:hint="eastAsia" w:ascii="宋体" w:hAnsi="宋体" w:eastAsia="宋体" w:cs="宋体"/>
          <w:color w:val="auto"/>
          <w:szCs w:val="28"/>
          <w:highlight w:val="none"/>
        </w:rPr>
        <w:fldChar w:fldCharType="end"/>
      </w:r>
    </w:p>
    <w:p>
      <w:pPr>
        <w:pStyle w:val="19"/>
        <w:tabs>
          <w:tab w:val="right" w:leader="dot" w:pos="9355"/>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_Toc18244 </w:instrText>
      </w:r>
      <w:r>
        <w:rPr>
          <w:rFonts w:hint="eastAsia" w:ascii="宋体" w:hAnsi="宋体" w:eastAsia="宋体" w:cs="宋体"/>
          <w:szCs w:val="28"/>
          <w:highlight w:val="none"/>
        </w:rPr>
        <w:fldChar w:fldCharType="separate"/>
      </w:r>
      <w:r>
        <w:rPr>
          <w:rFonts w:hint="default" w:ascii="宋体" w:hAnsi="宋体" w:eastAsia="宋体" w:cs="宋体"/>
          <w:w w:val="90"/>
        </w:rPr>
        <w:t xml:space="preserve">第四章 </w:t>
      </w:r>
      <w:r>
        <w:rPr>
          <w:rFonts w:hint="eastAsia" w:ascii="宋体" w:hAnsi="宋体" w:eastAsia="宋体" w:cs="宋体"/>
          <w:w w:val="90"/>
          <w:highlight w:val="none"/>
        </w:rPr>
        <w:t>合同主要条款</w:t>
      </w:r>
      <w:r>
        <w:tab/>
      </w:r>
      <w:r>
        <w:fldChar w:fldCharType="begin"/>
      </w:r>
      <w:r>
        <w:instrText xml:space="preserve"> PAGEREF _Toc18244 \h </w:instrText>
      </w:r>
      <w:r>
        <w:fldChar w:fldCharType="separate"/>
      </w:r>
      <w:r>
        <w:t>22</w:t>
      </w:r>
      <w:r>
        <w:fldChar w:fldCharType="end"/>
      </w:r>
      <w:r>
        <w:rPr>
          <w:rFonts w:hint="eastAsia" w:ascii="宋体" w:hAnsi="宋体" w:eastAsia="宋体" w:cs="宋体"/>
          <w:color w:val="auto"/>
          <w:szCs w:val="28"/>
          <w:highlight w:val="none"/>
        </w:rPr>
        <w:fldChar w:fldCharType="end"/>
      </w:r>
    </w:p>
    <w:p>
      <w:pPr>
        <w:pStyle w:val="19"/>
        <w:tabs>
          <w:tab w:val="right" w:leader="dot" w:pos="9355"/>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_Toc30794 </w:instrText>
      </w:r>
      <w:r>
        <w:rPr>
          <w:rFonts w:hint="eastAsia" w:ascii="宋体" w:hAnsi="宋体" w:eastAsia="宋体" w:cs="宋体"/>
          <w:szCs w:val="28"/>
          <w:highlight w:val="none"/>
        </w:rPr>
        <w:fldChar w:fldCharType="separate"/>
      </w:r>
      <w:r>
        <w:rPr>
          <w:rFonts w:hint="default" w:ascii="宋体" w:hAnsi="宋体" w:eastAsia="宋体" w:cs="宋体"/>
          <w:w w:val="90"/>
        </w:rPr>
        <w:t xml:space="preserve">第五章 </w:t>
      </w:r>
      <w:r>
        <w:rPr>
          <w:rFonts w:hint="eastAsia" w:ascii="宋体" w:hAnsi="宋体" w:eastAsia="宋体" w:cs="宋体"/>
          <w:w w:val="90"/>
          <w:highlight w:val="none"/>
          <w:lang w:val="en-US" w:eastAsia="zh-CN"/>
        </w:rPr>
        <w:t>项目情况及服务需求</w:t>
      </w:r>
      <w:r>
        <w:tab/>
      </w:r>
      <w:r>
        <w:fldChar w:fldCharType="begin"/>
      </w:r>
      <w:r>
        <w:instrText xml:space="preserve"> PAGEREF _Toc30794 \h </w:instrText>
      </w:r>
      <w:r>
        <w:fldChar w:fldCharType="separate"/>
      </w:r>
      <w:r>
        <w:t>27</w:t>
      </w:r>
      <w:r>
        <w:fldChar w:fldCharType="end"/>
      </w:r>
      <w:r>
        <w:rPr>
          <w:rFonts w:hint="eastAsia" w:ascii="宋体" w:hAnsi="宋体" w:eastAsia="宋体" w:cs="宋体"/>
          <w:color w:val="auto"/>
          <w:szCs w:val="28"/>
          <w:highlight w:val="none"/>
        </w:rPr>
        <w:fldChar w:fldCharType="end"/>
      </w:r>
    </w:p>
    <w:p>
      <w:pPr>
        <w:pStyle w:val="19"/>
        <w:tabs>
          <w:tab w:val="right" w:leader="dot" w:pos="9355"/>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_Toc13040 </w:instrText>
      </w:r>
      <w:r>
        <w:rPr>
          <w:rFonts w:hint="eastAsia" w:ascii="宋体" w:hAnsi="宋体" w:eastAsia="宋体" w:cs="宋体"/>
          <w:szCs w:val="28"/>
          <w:highlight w:val="none"/>
        </w:rPr>
        <w:fldChar w:fldCharType="separate"/>
      </w:r>
      <w:r>
        <w:rPr>
          <w:rFonts w:hint="default" w:ascii="宋体" w:hAnsi="宋体" w:eastAsia="宋体" w:cs="宋体"/>
          <w:w w:val="90"/>
        </w:rPr>
        <w:t xml:space="preserve">第六章 </w:t>
      </w:r>
      <w:r>
        <w:rPr>
          <w:rFonts w:hint="eastAsia" w:ascii="宋体" w:hAnsi="宋体" w:eastAsia="宋体" w:cs="宋体"/>
          <w:w w:val="90"/>
          <w:highlight w:val="none"/>
        </w:rPr>
        <w:t>附件（投标文件格式）</w:t>
      </w:r>
      <w:r>
        <w:tab/>
      </w:r>
      <w:r>
        <w:fldChar w:fldCharType="begin"/>
      </w:r>
      <w:r>
        <w:instrText xml:space="preserve"> PAGEREF _Toc13040 \h </w:instrText>
      </w:r>
      <w:r>
        <w:fldChar w:fldCharType="separate"/>
      </w:r>
      <w:r>
        <w:t>33</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_Toc7424 </w:instrText>
      </w:r>
      <w:r>
        <w:rPr>
          <w:rFonts w:hint="eastAsia" w:ascii="宋体" w:hAnsi="宋体" w:eastAsia="宋体" w:cs="宋体"/>
          <w:szCs w:val="28"/>
          <w:highlight w:val="none"/>
        </w:rPr>
        <w:fldChar w:fldCharType="separate"/>
      </w:r>
      <w:r>
        <w:rPr>
          <w:rFonts w:hint="eastAsia" w:ascii="宋体" w:hAnsi="宋体" w:eastAsia="宋体" w:cs="宋体"/>
          <w:highlight w:val="none"/>
        </w:rPr>
        <w:t>第一部分 投标函部分</w:t>
      </w:r>
      <w:r>
        <w:tab/>
      </w:r>
      <w:r>
        <w:fldChar w:fldCharType="begin"/>
      </w:r>
      <w:r>
        <w:instrText xml:space="preserve"> PAGEREF _Toc7424 \h </w:instrText>
      </w:r>
      <w:r>
        <w:fldChar w:fldCharType="separate"/>
      </w:r>
      <w:r>
        <w:t>35</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_Toc20177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rPr>
        <w:t>1、投标函(格式)</w:t>
      </w:r>
      <w:r>
        <w:tab/>
      </w:r>
      <w:r>
        <w:fldChar w:fldCharType="begin"/>
      </w:r>
      <w:r>
        <w:instrText xml:space="preserve"> PAGEREF _Toc20177 \h </w:instrText>
      </w:r>
      <w:r>
        <w:fldChar w:fldCharType="separate"/>
      </w:r>
      <w:r>
        <w:t>35</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_Toc12942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rPr>
        <w:t>2、投标函附录格式</w:t>
      </w:r>
      <w:r>
        <w:tab/>
      </w:r>
      <w:r>
        <w:fldChar w:fldCharType="begin"/>
      </w:r>
      <w:r>
        <w:instrText xml:space="preserve"> PAGEREF _Toc12942 \h </w:instrText>
      </w:r>
      <w:r>
        <w:fldChar w:fldCharType="separate"/>
      </w:r>
      <w:r>
        <w:t>36</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_Toc59 </w:instrText>
      </w:r>
      <w:r>
        <w:rPr>
          <w:rFonts w:hint="eastAsia" w:ascii="宋体" w:hAnsi="宋体" w:eastAsia="宋体" w:cs="宋体"/>
          <w:szCs w:val="28"/>
          <w:highlight w:val="none"/>
        </w:rPr>
        <w:fldChar w:fldCharType="separate"/>
      </w:r>
      <w:r>
        <w:rPr>
          <w:rFonts w:hint="eastAsia" w:ascii="宋体" w:hAnsi="宋体" w:eastAsia="宋体" w:cs="宋体"/>
          <w:bCs w:val="0"/>
          <w:highlight w:val="none"/>
        </w:rPr>
        <w:t>第</w:t>
      </w:r>
      <w:r>
        <w:rPr>
          <w:rFonts w:hint="eastAsia" w:ascii="宋体" w:hAnsi="宋体" w:eastAsia="宋体" w:cs="宋体"/>
          <w:bCs w:val="0"/>
          <w:highlight w:val="none"/>
          <w:lang w:val="en-US" w:eastAsia="zh-CN"/>
        </w:rPr>
        <w:t>二</w:t>
      </w:r>
      <w:r>
        <w:rPr>
          <w:rFonts w:hint="eastAsia" w:ascii="宋体" w:hAnsi="宋体" w:eastAsia="宋体" w:cs="宋体"/>
          <w:bCs w:val="0"/>
          <w:highlight w:val="none"/>
        </w:rPr>
        <w:t>部分 资格审查部分</w:t>
      </w:r>
      <w:r>
        <w:tab/>
      </w:r>
      <w:r>
        <w:fldChar w:fldCharType="begin"/>
      </w:r>
      <w:r>
        <w:instrText xml:space="preserve"> PAGEREF _Toc59 \h </w:instrText>
      </w:r>
      <w:r>
        <w:fldChar w:fldCharType="separate"/>
      </w:r>
      <w:r>
        <w:t>37</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_Toc16181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1</w:t>
      </w:r>
      <w:r>
        <w:rPr>
          <w:rFonts w:hint="eastAsia" w:ascii="宋体" w:hAnsi="宋体" w:eastAsia="宋体" w:cs="宋体"/>
          <w:szCs w:val="28"/>
          <w:highlight w:val="none"/>
        </w:rPr>
        <w:t>、投标人一般情况（格式）</w:t>
      </w:r>
      <w:r>
        <w:tab/>
      </w:r>
      <w:r>
        <w:fldChar w:fldCharType="begin"/>
      </w:r>
      <w:r>
        <w:instrText xml:space="preserve"> PAGEREF _Toc16181 \h </w:instrText>
      </w:r>
      <w:r>
        <w:fldChar w:fldCharType="separate"/>
      </w:r>
      <w:r>
        <w:t>37</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_Toc4660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2</w:t>
      </w:r>
      <w:r>
        <w:rPr>
          <w:rFonts w:hint="eastAsia" w:ascii="宋体" w:hAnsi="宋体" w:eastAsia="宋体" w:cs="宋体"/>
          <w:szCs w:val="28"/>
          <w:highlight w:val="none"/>
        </w:rPr>
        <w:t>、法定代表人身份证明书</w:t>
      </w:r>
      <w:r>
        <w:rPr>
          <w:rFonts w:hint="eastAsia" w:ascii="宋体" w:hAnsi="宋体" w:eastAsia="宋体" w:cs="宋体"/>
          <w:bCs w:val="0"/>
          <w:szCs w:val="28"/>
          <w:highlight w:val="none"/>
        </w:rPr>
        <w:t>（格式）</w:t>
      </w:r>
      <w:r>
        <w:tab/>
      </w:r>
      <w:r>
        <w:fldChar w:fldCharType="begin"/>
      </w:r>
      <w:r>
        <w:instrText xml:space="preserve"> PAGEREF _Toc4660 \h </w:instrText>
      </w:r>
      <w:r>
        <w:fldChar w:fldCharType="separate"/>
      </w:r>
      <w:r>
        <w:t>38</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_Toc4513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、法定代表人授权书</w:t>
      </w:r>
      <w:r>
        <w:rPr>
          <w:rFonts w:hint="eastAsia" w:ascii="宋体" w:hAnsi="宋体" w:eastAsia="宋体" w:cs="宋体"/>
          <w:bCs w:val="0"/>
          <w:szCs w:val="28"/>
          <w:highlight w:val="none"/>
        </w:rPr>
        <w:t>（格式）（如法定代表人投标不需此项）</w:t>
      </w:r>
      <w:r>
        <w:tab/>
      </w:r>
      <w:r>
        <w:fldChar w:fldCharType="begin"/>
      </w:r>
      <w:r>
        <w:instrText xml:space="preserve"> PAGEREF _Toc4513 \h </w:instrText>
      </w:r>
      <w:r>
        <w:fldChar w:fldCharType="separate"/>
      </w:r>
      <w:r>
        <w:t>39</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_Toc29066 </w:instrText>
      </w:r>
      <w:r>
        <w:rPr>
          <w:rFonts w:hint="eastAsia" w:ascii="宋体" w:hAnsi="宋体" w:eastAsia="宋体" w:cs="宋体"/>
          <w:szCs w:val="28"/>
          <w:highlight w:val="none"/>
        </w:rPr>
        <w:fldChar w:fldCharType="separate"/>
      </w:r>
      <w:r>
        <w:rPr>
          <w:rFonts w:hint="eastAsia"/>
          <w:lang w:val="en-US" w:eastAsia="zh-CN"/>
        </w:rPr>
        <w:t>4、项目负责人</w:t>
      </w:r>
      <w:r>
        <w:tab/>
      </w:r>
      <w:r>
        <w:fldChar w:fldCharType="begin"/>
      </w:r>
      <w:r>
        <w:instrText xml:space="preserve"> PAGEREF _Toc29066 \h </w:instrText>
      </w:r>
      <w:r>
        <w:fldChar w:fldCharType="separate"/>
      </w:r>
      <w:r>
        <w:t>40</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_Toc8435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、投标保证书格式</w:t>
      </w:r>
      <w:r>
        <w:tab/>
      </w:r>
      <w:r>
        <w:fldChar w:fldCharType="begin"/>
      </w:r>
      <w:r>
        <w:instrText xml:space="preserve"> PAGEREF _Toc8435 \h </w:instrText>
      </w:r>
      <w:r>
        <w:fldChar w:fldCharType="separate"/>
      </w:r>
      <w:r>
        <w:t>41</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_Toc10301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、投标保证金收据复印件或付款凭证</w:t>
      </w:r>
      <w:r>
        <w:tab/>
      </w:r>
      <w:r>
        <w:fldChar w:fldCharType="begin"/>
      </w:r>
      <w:r>
        <w:instrText xml:space="preserve"> PAGEREF _Toc10301 \h </w:instrText>
      </w:r>
      <w:r>
        <w:fldChar w:fldCharType="separate"/>
      </w:r>
      <w:r>
        <w:t>42</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_Toc2306 </w:instrText>
      </w:r>
      <w:r>
        <w:rPr>
          <w:rFonts w:hint="eastAsia" w:ascii="宋体" w:hAnsi="宋体" w:eastAsia="宋体" w:cs="宋体"/>
          <w:szCs w:val="28"/>
          <w:highlight w:val="none"/>
        </w:rPr>
        <w:fldChar w:fldCharType="separate"/>
      </w:r>
      <w:r>
        <w:rPr>
          <w:rFonts w:hint="eastAsia" w:ascii="宋体" w:hAnsi="宋体" w:eastAsia="宋体" w:cs="宋体"/>
          <w:highlight w:val="none"/>
        </w:rPr>
        <w:t>第三部分 技术部分</w:t>
      </w:r>
      <w:r>
        <w:tab/>
      </w:r>
      <w:r>
        <w:fldChar w:fldCharType="begin"/>
      </w:r>
      <w:r>
        <w:instrText xml:space="preserve"> PAGEREF _Toc2306 \h </w:instrText>
      </w:r>
      <w:r>
        <w:fldChar w:fldCharType="separate"/>
      </w:r>
      <w:r>
        <w:t>46</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_Toc7479 </w:instrText>
      </w:r>
      <w:r>
        <w:rPr>
          <w:rFonts w:hint="eastAsia" w:ascii="宋体" w:hAnsi="宋体" w:eastAsia="宋体" w:cs="宋体"/>
          <w:szCs w:val="28"/>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四</w:t>
      </w:r>
      <w:r>
        <w:rPr>
          <w:rFonts w:hint="eastAsia" w:ascii="宋体" w:hAnsi="宋体" w:eastAsia="宋体" w:cs="宋体"/>
          <w:highlight w:val="none"/>
        </w:rPr>
        <w:t>部分 商务部分</w:t>
      </w:r>
      <w:r>
        <w:tab/>
      </w:r>
      <w:r>
        <w:fldChar w:fldCharType="begin"/>
      </w:r>
      <w:r>
        <w:instrText xml:space="preserve"> PAGEREF _Toc7479 \h </w:instrText>
      </w:r>
      <w:r>
        <w:fldChar w:fldCharType="separate"/>
      </w:r>
      <w:r>
        <w:t>47</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_Toc11707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rPr>
        <w:t>1、</w:t>
      </w:r>
      <w:r>
        <w:rPr>
          <w:rFonts w:hint="eastAsia" w:ascii="宋体" w:hAnsi="宋体" w:eastAsia="宋体" w:cs="宋体"/>
          <w:bCs w:val="0"/>
          <w:szCs w:val="28"/>
          <w:highlight w:val="none"/>
          <w:lang w:val="en-US" w:eastAsia="zh-CN"/>
        </w:rPr>
        <w:t>服务</w:t>
      </w:r>
      <w:r>
        <w:rPr>
          <w:rFonts w:hint="eastAsia" w:ascii="宋体" w:hAnsi="宋体" w:eastAsia="宋体" w:cs="宋体"/>
          <w:bCs w:val="0"/>
          <w:szCs w:val="28"/>
          <w:highlight w:val="none"/>
        </w:rPr>
        <w:t>说明</w:t>
      </w:r>
      <w:r>
        <w:tab/>
      </w:r>
      <w:r>
        <w:fldChar w:fldCharType="begin"/>
      </w:r>
      <w:r>
        <w:instrText xml:space="preserve"> PAGEREF _Toc11707 \h </w:instrText>
      </w:r>
      <w:r>
        <w:fldChar w:fldCharType="separate"/>
      </w:r>
      <w:r>
        <w:t>47</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_Toc696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2</w:t>
      </w:r>
      <w:r>
        <w:rPr>
          <w:rFonts w:hint="eastAsia" w:ascii="宋体" w:hAnsi="宋体" w:eastAsia="宋体" w:cs="宋体"/>
          <w:szCs w:val="28"/>
          <w:highlight w:val="none"/>
        </w:rPr>
        <w:t>、</w:t>
      </w:r>
      <w:r>
        <w:rPr>
          <w:rFonts w:hint="eastAsia" w:ascii="宋体" w:hAnsi="宋体" w:eastAsia="宋体" w:cs="宋体"/>
          <w:szCs w:val="28"/>
          <w:highlight w:val="none"/>
          <w:lang w:eastAsia="zh-CN"/>
        </w:rPr>
        <w:t>拟投入本项目的人员情况</w:t>
      </w:r>
      <w:r>
        <w:rPr>
          <w:rFonts w:hint="eastAsia" w:ascii="宋体" w:hAnsi="宋体" w:eastAsia="宋体" w:cs="宋体"/>
          <w:szCs w:val="28"/>
          <w:highlight w:val="none"/>
        </w:rPr>
        <w:t>（格式）</w:t>
      </w:r>
      <w:r>
        <w:tab/>
      </w:r>
      <w:r>
        <w:fldChar w:fldCharType="begin"/>
      </w:r>
      <w:r>
        <w:instrText xml:space="preserve"> PAGEREF _Toc696 \h </w:instrText>
      </w:r>
      <w:r>
        <w:fldChar w:fldCharType="separate"/>
      </w:r>
      <w:r>
        <w:t>48</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_Toc26201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、20</w:t>
      </w:r>
      <w:r>
        <w:rPr>
          <w:rFonts w:hint="eastAsia" w:ascii="宋体" w:hAnsi="宋体" w:eastAsia="宋体" w:cs="宋体"/>
          <w:szCs w:val="28"/>
          <w:highlight w:val="none"/>
          <w:lang w:val="en-US" w:eastAsia="zh-CN"/>
        </w:rPr>
        <w:t>21</w:t>
      </w:r>
      <w:r>
        <w:rPr>
          <w:rFonts w:hint="eastAsia" w:ascii="宋体" w:hAnsi="宋体" w:eastAsia="宋体" w:cs="宋体"/>
          <w:szCs w:val="28"/>
          <w:highlight w:val="none"/>
        </w:rPr>
        <w:t>年1月1日至今类似供货业绩（如有）</w:t>
      </w:r>
      <w:r>
        <w:tab/>
      </w:r>
      <w:r>
        <w:fldChar w:fldCharType="begin"/>
      </w:r>
      <w:r>
        <w:instrText xml:space="preserve"> PAGEREF _Toc26201 \h </w:instrText>
      </w:r>
      <w:r>
        <w:fldChar w:fldCharType="separate"/>
      </w:r>
      <w:r>
        <w:t>49</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_Toc28956 </w:instrText>
      </w:r>
      <w:r>
        <w:rPr>
          <w:rFonts w:hint="eastAsia" w:ascii="宋体" w:hAnsi="宋体" w:eastAsia="宋体" w:cs="宋体"/>
          <w:szCs w:val="28"/>
          <w:highlight w:val="none"/>
        </w:rPr>
        <w:fldChar w:fldCharType="separate"/>
      </w:r>
      <w:r>
        <w:rPr>
          <w:rFonts w:hint="eastAsia" w:ascii="宋体" w:hAnsi="宋体" w:eastAsia="宋体" w:cs="宋体"/>
          <w:bCs w:val="0"/>
          <w:highlight w:val="none"/>
        </w:rPr>
        <w:t>第</w:t>
      </w:r>
      <w:r>
        <w:rPr>
          <w:rFonts w:hint="eastAsia" w:ascii="宋体" w:hAnsi="宋体" w:eastAsia="宋体" w:cs="宋体"/>
          <w:bCs w:val="0"/>
          <w:highlight w:val="none"/>
          <w:lang w:val="en-US" w:eastAsia="zh-CN"/>
        </w:rPr>
        <w:t>五</w:t>
      </w:r>
      <w:r>
        <w:rPr>
          <w:rFonts w:hint="eastAsia" w:ascii="宋体" w:hAnsi="宋体" w:eastAsia="宋体" w:cs="宋体"/>
          <w:bCs w:val="0"/>
          <w:highlight w:val="none"/>
        </w:rPr>
        <w:t xml:space="preserve">部分 </w:t>
      </w:r>
      <w:r>
        <w:rPr>
          <w:rFonts w:hint="eastAsia" w:ascii="宋体" w:hAnsi="宋体" w:eastAsia="宋体" w:cs="宋体"/>
          <w:bCs w:val="0"/>
          <w:highlight w:val="none"/>
          <w:lang w:val="en-US" w:eastAsia="zh-CN"/>
        </w:rPr>
        <w:t>其他资料</w:t>
      </w:r>
      <w:r>
        <w:tab/>
      </w:r>
      <w:r>
        <w:fldChar w:fldCharType="begin"/>
      </w:r>
      <w:r>
        <w:instrText xml:space="preserve"> PAGEREF _Toc28956 \h </w:instrText>
      </w:r>
      <w:r>
        <w:fldChar w:fldCharType="separate"/>
      </w:r>
      <w:r>
        <w:t>50</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_Toc22416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rPr>
        <w:t>1、承诺书</w:t>
      </w:r>
      <w:r>
        <w:rPr>
          <w:rFonts w:hint="eastAsia" w:ascii="宋体" w:hAnsi="宋体" w:eastAsia="宋体" w:cs="宋体"/>
          <w:bCs w:val="0"/>
          <w:szCs w:val="28"/>
          <w:highlight w:val="none"/>
        </w:rPr>
        <w:t>（格式）</w:t>
      </w:r>
      <w:r>
        <w:tab/>
      </w:r>
      <w:r>
        <w:fldChar w:fldCharType="begin"/>
      </w:r>
      <w:r>
        <w:instrText xml:space="preserve"> PAGEREF _Toc22416 \h </w:instrText>
      </w:r>
      <w:r>
        <w:fldChar w:fldCharType="separate"/>
      </w:r>
      <w:r>
        <w:t>50</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_Toc22764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2</w:t>
      </w:r>
      <w:r>
        <w:rPr>
          <w:rFonts w:hint="eastAsia" w:ascii="宋体" w:hAnsi="宋体" w:eastAsia="宋体" w:cs="宋体"/>
          <w:szCs w:val="28"/>
          <w:highlight w:val="none"/>
        </w:rPr>
        <w:t>、待解决的诉讼</w:t>
      </w:r>
      <w:r>
        <w:rPr>
          <w:rFonts w:hint="eastAsia" w:ascii="宋体" w:hAnsi="宋体" w:eastAsia="宋体" w:cs="宋体"/>
          <w:bCs w:val="0"/>
          <w:szCs w:val="28"/>
          <w:highlight w:val="none"/>
        </w:rPr>
        <w:t>（格式）</w:t>
      </w:r>
      <w:r>
        <w:tab/>
      </w:r>
      <w:r>
        <w:fldChar w:fldCharType="begin"/>
      </w:r>
      <w:r>
        <w:instrText xml:space="preserve"> PAGEREF _Toc22764 \h </w:instrText>
      </w:r>
      <w:r>
        <w:fldChar w:fldCharType="separate"/>
      </w:r>
      <w:r>
        <w:t>51</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_Toc7137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、投标人未处于被责令停业，财产被接管、冻结破产状态承诺书（格式）</w:t>
      </w:r>
      <w:r>
        <w:tab/>
      </w:r>
      <w:r>
        <w:fldChar w:fldCharType="begin"/>
      </w:r>
      <w:r>
        <w:instrText xml:space="preserve"> PAGEREF _Toc7137 \h </w:instrText>
      </w:r>
      <w:r>
        <w:fldChar w:fldCharType="separate"/>
      </w:r>
      <w:r>
        <w:t>52</w:t>
      </w:r>
      <w: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_Toc3670 </w:instrText>
      </w:r>
      <w:r>
        <w:rPr>
          <w:rFonts w:hint="eastAsia" w:ascii="宋体" w:hAnsi="宋体" w:eastAsia="宋体" w:cs="宋体"/>
          <w:szCs w:val="28"/>
          <w:highlight w:val="none"/>
        </w:rPr>
        <w:fldChar w:fldCharType="separate"/>
      </w:r>
      <w:r>
        <w:rPr>
          <w:rFonts w:hint="eastAsia" w:ascii="宋体" w:hAnsi="宋体" w:eastAsia="宋体" w:cs="宋体"/>
          <w:highlight w:val="none"/>
          <w:lang w:val="en-US" w:eastAsia="zh-CN"/>
        </w:rPr>
        <w:t>4、投标人认为所需</w:t>
      </w:r>
      <w:r>
        <w:rPr>
          <w:rFonts w:hint="eastAsia" w:ascii="宋体" w:hAnsi="宋体" w:cs="宋体"/>
          <w:highlight w:val="none"/>
          <w:lang w:val="en-US" w:eastAsia="zh-CN"/>
        </w:rPr>
        <w:t>要</w:t>
      </w:r>
      <w:r>
        <w:rPr>
          <w:rFonts w:hint="eastAsia" w:ascii="宋体" w:hAnsi="宋体" w:eastAsia="宋体" w:cs="宋体"/>
          <w:highlight w:val="none"/>
          <w:lang w:val="en-US" w:eastAsia="zh-CN"/>
        </w:rPr>
        <w:t>的其他材料</w:t>
      </w:r>
      <w:r>
        <w:tab/>
      </w:r>
      <w:r>
        <w:fldChar w:fldCharType="begin"/>
      </w:r>
      <w:r>
        <w:instrText xml:space="preserve"> PAGEREF _Toc3670 \h </w:instrText>
      </w:r>
      <w:r>
        <w:fldChar w:fldCharType="separate"/>
      </w:r>
      <w:r>
        <w:t>53</w:t>
      </w:r>
      <w:r>
        <w:fldChar w:fldCharType="end"/>
      </w:r>
      <w:r>
        <w:rPr>
          <w:rFonts w:hint="eastAsia" w:ascii="宋体" w:hAnsi="宋体" w:eastAsia="宋体" w:cs="宋体"/>
          <w:color w:val="auto"/>
          <w:szCs w:val="28"/>
          <w:highlight w:val="none"/>
        </w:rPr>
        <w:fldChar w:fldCharType="end"/>
      </w:r>
    </w:p>
    <w:p>
      <w:pPr>
        <w:pStyle w:val="19"/>
        <w:tabs>
          <w:tab w:val="right" w:leader="dot" w:pos="9355"/>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_Toc5036 </w:instrText>
      </w:r>
      <w:r>
        <w:rPr>
          <w:rFonts w:hint="eastAsia" w:ascii="宋体" w:hAnsi="宋体" w:eastAsia="宋体" w:cs="宋体"/>
          <w:szCs w:val="28"/>
          <w:highlight w:val="none"/>
        </w:rPr>
        <w:fldChar w:fldCharType="separate"/>
      </w:r>
      <w:r>
        <w:rPr>
          <w:rFonts w:hint="default" w:ascii="宋体" w:hAnsi="宋体" w:eastAsia="宋体" w:cs="宋体"/>
          <w:w w:val="90"/>
        </w:rPr>
        <w:t xml:space="preserve">第七章 </w:t>
      </w:r>
      <w:r>
        <w:rPr>
          <w:rFonts w:hint="eastAsia" w:ascii="宋体" w:hAnsi="宋体" w:eastAsia="宋体" w:cs="宋体"/>
          <w:w w:val="90"/>
          <w:highlight w:val="none"/>
        </w:rPr>
        <w:t>评标办法</w:t>
      </w:r>
      <w:r>
        <w:tab/>
      </w:r>
      <w:r>
        <w:fldChar w:fldCharType="begin"/>
      </w:r>
      <w:r>
        <w:instrText xml:space="preserve"> PAGEREF _Toc5036 \h </w:instrText>
      </w:r>
      <w:r>
        <w:fldChar w:fldCharType="separate"/>
      </w:r>
      <w:r>
        <w:t>54</w:t>
      </w:r>
      <w:r>
        <w:fldChar w:fldCharType="end"/>
      </w:r>
      <w:r>
        <w:rPr>
          <w:rFonts w:hint="eastAsia" w:ascii="宋体" w:hAnsi="宋体" w:eastAsia="宋体" w:cs="宋体"/>
          <w:color w:val="auto"/>
          <w:szCs w:val="28"/>
          <w:highlight w:val="none"/>
        </w:rPr>
        <w:fldChar w:fldCharType="end"/>
      </w:r>
    </w:p>
    <w:p>
      <w:pPr>
        <w:tabs>
          <w:tab w:val="right" w:leader="dot" w:pos="9628"/>
        </w:tabs>
        <w:snapToGrid w:val="0"/>
        <w:spacing w:line="360" w:lineRule="auto"/>
        <w:rPr>
          <w:rFonts w:hint="eastAsia" w:ascii="宋体" w:hAnsi="宋体" w:eastAsia="宋体" w:cs="宋体"/>
          <w:color w:val="auto"/>
          <w:sz w:val="30"/>
          <w:highlight w:val="none"/>
        </w:rPr>
        <w:sectPr>
          <w:headerReference r:id="rId6" w:type="first"/>
          <w:pgSz w:w="11906" w:h="16838"/>
          <w:pgMar w:top="1134" w:right="1133" w:bottom="1134" w:left="1418" w:header="454" w:footer="454" w:gutter="0"/>
          <w:cols w:space="720" w:num="1"/>
          <w:titlePg/>
          <w:docGrid w:type="lines" w:linePitch="312" w:charSpace="0"/>
        </w:sectPr>
      </w:pPr>
      <w:r>
        <w:rPr>
          <w:rFonts w:hint="eastAsia" w:ascii="宋体" w:hAnsi="宋体" w:eastAsia="宋体" w:cs="宋体"/>
          <w:color w:val="auto"/>
          <w:szCs w:val="28"/>
          <w:highlight w:val="none"/>
        </w:rPr>
        <w:fldChar w:fldCharType="end"/>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4"/>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0" w:name="_Toc343510551"/>
      <w:bookmarkStart w:id="1" w:name="_Toc30943"/>
      <w:bookmarkStart w:id="2" w:name="_Toc349568450"/>
      <w:bookmarkStart w:id="3" w:name="_Toc349568709"/>
      <w:bookmarkStart w:id="4" w:name="_Toc350515646"/>
      <w:bookmarkStart w:id="5" w:name="_Toc28643"/>
      <w:bookmarkStart w:id="6" w:name="_Toc344394137"/>
      <w:r>
        <w:rPr>
          <w:rFonts w:hint="eastAsia" w:ascii="宋体" w:hAnsi="宋体" w:eastAsia="宋体" w:cs="宋体"/>
          <w:color w:val="auto"/>
          <w:highlight w:val="none"/>
        </w:rPr>
        <w:t>招标公告</w:t>
      </w:r>
      <w:bookmarkEnd w:id="0"/>
      <w:bookmarkEnd w:id="1"/>
      <w:bookmarkEnd w:id="2"/>
      <w:bookmarkEnd w:id="3"/>
      <w:bookmarkEnd w:id="4"/>
      <w:bookmarkEnd w:id="5"/>
      <w:bookmarkEnd w:id="6"/>
    </w:p>
    <w:p>
      <w:pPr>
        <w:spacing w:line="360" w:lineRule="auto"/>
        <w:rPr>
          <w:rFonts w:hint="eastAsia" w:ascii="宋体" w:hAnsi="宋体" w:eastAsia="宋体" w:cs="宋体"/>
          <w:color w:val="auto"/>
          <w:highlight w:val="none"/>
        </w:rPr>
      </w:pPr>
    </w:p>
    <w:p>
      <w:pPr>
        <w:pStyle w:val="14"/>
        <w:spacing w:line="360" w:lineRule="auto"/>
        <w:jc w:val="center"/>
        <w:rPr>
          <w:rFonts w:hint="eastAsia" w:ascii="宋体" w:hAnsi="宋体" w:eastAsia="宋体" w:cs="宋体"/>
          <w:b/>
          <w:color w:val="auto"/>
          <w:sz w:val="30"/>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8"/>
          <w:szCs w:val="24"/>
          <w:highlight w:val="none"/>
          <w:lang w:eastAsia="zh-CN"/>
        </w:rPr>
      </w:pPr>
      <w:r>
        <w:rPr>
          <w:rFonts w:hint="eastAsia" w:ascii="宋体" w:hAnsi="宋体" w:eastAsia="宋体" w:cs="宋体"/>
          <w:b/>
          <w:bCs/>
          <w:color w:val="auto"/>
          <w:sz w:val="32"/>
          <w:szCs w:val="24"/>
          <w:highlight w:val="none"/>
        </w:rPr>
        <w:br w:type="page"/>
      </w:r>
      <w:r>
        <w:rPr>
          <w:rFonts w:hint="eastAsia" w:ascii="宋体" w:hAnsi="宋体" w:eastAsia="宋体" w:cs="宋体"/>
          <w:b/>
          <w:bCs/>
          <w:color w:val="auto"/>
          <w:sz w:val="32"/>
          <w:szCs w:val="24"/>
          <w:highlight w:val="none"/>
          <w:lang w:eastAsia="zh-CN"/>
        </w:rPr>
        <w:t>辽宁省营口市海洋生态保护修复工程项目实施方案编制服务</w:t>
      </w:r>
    </w:p>
    <w:p>
      <w:pPr>
        <w:spacing w:line="360" w:lineRule="auto"/>
        <w:jc w:val="center"/>
        <w:rPr>
          <w:rFonts w:hint="eastAsia" w:ascii="宋体" w:hAnsi="宋体" w:eastAsia="宋体" w:cs="宋体"/>
          <w:b/>
          <w:bCs/>
          <w:color w:val="auto"/>
          <w:sz w:val="40"/>
          <w:szCs w:val="24"/>
          <w:highlight w:val="none"/>
        </w:rPr>
      </w:pPr>
      <w:bookmarkStart w:id="7" w:name="资格预审合格通知书"/>
      <w:bookmarkEnd w:id="7"/>
      <w:r>
        <w:rPr>
          <w:rFonts w:hint="eastAsia" w:ascii="宋体" w:hAnsi="宋体" w:eastAsia="宋体" w:cs="宋体"/>
          <w:b/>
          <w:bCs/>
          <w:color w:val="auto"/>
          <w:sz w:val="40"/>
          <w:szCs w:val="24"/>
          <w:highlight w:val="none"/>
        </w:rPr>
        <w:t>招标公告</w:t>
      </w:r>
    </w:p>
    <w:p>
      <w:pPr>
        <w:spacing w:after="120" w:line="360" w:lineRule="auto"/>
        <w:rPr>
          <w:rFonts w:hint="eastAsia" w:ascii="宋体" w:hAnsi="宋体" w:eastAsia="宋体" w:cs="宋体"/>
          <w:b/>
          <w:bCs/>
          <w:color w:val="auto"/>
          <w:sz w:val="20"/>
          <w:szCs w:val="24"/>
          <w:highlight w:val="none"/>
        </w:rPr>
      </w:pPr>
    </w:p>
    <w:p>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辽宁国信建设工程管理有限公司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lang w:eastAsia="zh-CN"/>
        </w:rPr>
        <w:t>营口市自然资源局</w:t>
      </w:r>
      <w:r>
        <w:rPr>
          <w:rFonts w:hint="eastAsia" w:ascii="宋体" w:hAnsi="宋体" w:eastAsia="宋体" w:cs="宋体"/>
          <w:color w:val="auto"/>
          <w:sz w:val="24"/>
          <w:szCs w:val="24"/>
          <w:highlight w:val="none"/>
        </w:rPr>
        <w:t>委托对</w:t>
      </w:r>
      <w:r>
        <w:rPr>
          <w:rFonts w:hint="eastAsia" w:ascii="宋体" w:hAnsi="宋体" w:eastAsia="宋体" w:cs="宋体"/>
          <w:color w:val="auto"/>
          <w:sz w:val="24"/>
          <w:szCs w:val="24"/>
          <w:highlight w:val="none"/>
          <w:u w:val="single"/>
          <w:lang w:eastAsia="zh-CN"/>
        </w:rPr>
        <w:t>辽宁省营口市海洋生态保护修复工程项目实施方案编制服务</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lang w:eastAsia="zh-CN"/>
        </w:rPr>
        <w:t>LNGX-2403004</w:t>
      </w:r>
      <w:r>
        <w:rPr>
          <w:rFonts w:hint="eastAsia" w:ascii="宋体" w:hAnsi="宋体" w:eastAsia="宋体" w:cs="宋体"/>
          <w:color w:val="auto"/>
          <w:sz w:val="24"/>
          <w:szCs w:val="24"/>
          <w:highlight w:val="none"/>
        </w:rPr>
        <w:t>）进行国内公开招标，欢迎有意愿、有合格资质条件的投标单位参加投标。</w:t>
      </w:r>
    </w:p>
    <w:p>
      <w:pPr>
        <w:numPr>
          <w:ilvl w:val="0"/>
          <w:numId w:val="3"/>
        </w:numPr>
        <w:tabs>
          <w:tab w:val="left" w:pos="709"/>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eastAsia="宋体" w:cs="宋体"/>
          <w:color w:val="auto"/>
          <w:sz w:val="24"/>
          <w:szCs w:val="24"/>
          <w:highlight w:val="none"/>
          <w:lang w:eastAsia="zh-CN"/>
        </w:rPr>
        <w:t>辽宁省营口市海洋生态保护修复工程项目实施方案编制服务</w:t>
      </w:r>
      <w:r>
        <w:rPr>
          <w:rFonts w:hint="eastAsia" w:ascii="宋体" w:hAnsi="宋体" w:eastAsia="宋体" w:cs="宋体"/>
          <w:color w:val="auto"/>
          <w:sz w:val="24"/>
          <w:szCs w:val="24"/>
          <w:highlight w:val="none"/>
        </w:rPr>
        <w:t>。</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rPr>
        <w:t>范围：</w:t>
      </w:r>
      <w:r>
        <w:rPr>
          <w:rFonts w:hint="eastAsia" w:ascii="宋体" w:hAnsi="宋体" w:eastAsia="宋体" w:cs="宋体"/>
          <w:bCs/>
          <w:color w:val="auto"/>
          <w:sz w:val="24"/>
          <w:szCs w:val="24"/>
          <w:highlight w:val="none"/>
          <w:lang w:val="en-US" w:eastAsia="zh-CN"/>
        </w:rPr>
        <w:t>拟委托1家服务机构提供辽宁省营口市海洋生态保护修复工程项目实施方案编制服务。</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服务地点</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资金来源及落实情况：</w:t>
      </w:r>
      <w:r>
        <w:rPr>
          <w:rFonts w:hint="eastAsia" w:ascii="宋体" w:hAnsi="宋体" w:eastAsia="宋体" w:cs="宋体"/>
          <w:color w:val="auto"/>
          <w:sz w:val="24"/>
          <w:szCs w:val="24"/>
          <w:highlight w:val="none"/>
          <w:lang w:val="en-US" w:eastAsia="zh-CN"/>
        </w:rPr>
        <w:t>中央资金</w:t>
      </w:r>
      <w:r>
        <w:rPr>
          <w:rFonts w:hint="eastAsia" w:ascii="宋体" w:hAnsi="宋体" w:eastAsia="宋体" w:cs="宋体"/>
          <w:color w:val="auto"/>
          <w:sz w:val="24"/>
          <w:szCs w:val="24"/>
          <w:highlight w:val="none"/>
        </w:rPr>
        <w:t>，已落实。估算价：</w:t>
      </w:r>
      <w:r>
        <w:rPr>
          <w:rFonts w:hint="eastAsia" w:ascii="宋体" w:hAnsi="宋体" w:eastAsia="宋体" w:cs="宋体"/>
          <w:color w:val="auto"/>
          <w:sz w:val="24"/>
          <w:szCs w:val="24"/>
          <w:highlight w:val="none"/>
          <w:lang w:val="en-US" w:eastAsia="zh-CN"/>
        </w:rPr>
        <w:t>95.3</w:t>
      </w:r>
      <w:r>
        <w:rPr>
          <w:rFonts w:hint="eastAsia" w:ascii="宋体" w:hAnsi="宋体" w:eastAsia="宋体" w:cs="宋体"/>
          <w:color w:val="auto"/>
          <w:sz w:val="24"/>
          <w:szCs w:val="24"/>
          <w:highlight w:val="none"/>
        </w:rPr>
        <w:t>万元。</w:t>
      </w:r>
    </w:p>
    <w:p>
      <w:pPr>
        <w:numPr>
          <w:ilvl w:val="0"/>
          <w:numId w:val="3"/>
        </w:numPr>
        <w:tabs>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服务期限</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lang w:val="en-US" w:eastAsia="zh-CN"/>
        </w:rPr>
        <w:t>自合同签订之日起30日内完成相关工作。</w:t>
      </w:r>
    </w:p>
    <w:p>
      <w:pPr>
        <w:numPr>
          <w:ilvl w:val="0"/>
          <w:numId w:val="3"/>
        </w:numPr>
        <w:tabs>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投标资格及报名条件：</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sz w:val="24"/>
          <w:szCs w:val="24"/>
          <w:highlight w:val="none"/>
        </w:rPr>
        <w:t>投标人须</w:t>
      </w:r>
      <w:r>
        <w:rPr>
          <w:rFonts w:hint="eastAsia" w:ascii="宋体" w:hAnsi="宋体" w:eastAsia="宋体" w:cs="宋体"/>
          <w:color w:val="auto"/>
          <w:sz w:val="24"/>
          <w:highlight w:val="none"/>
        </w:rPr>
        <w:t>具有独立承担民事责任能力的在中华人民共和国境内注册的法人或其他组织，能够独立承担民事责任，具有从事本项目的能力</w:t>
      </w:r>
      <w:r>
        <w:rPr>
          <w:rFonts w:hint="eastAsia" w:ascii="宋体" w:hAnsi="宋体" w:eastAsia="宋体" w:cs="宋体"/>
          <w:color w:val="auto"/>
          <w:sz w:val="24"/>
          <w:szCs w:val="24"/>
          <w:highlight w:val="none"/>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lang w:val="en-US" w:eastAsia="zh-CN"/>
        </w:rPr>
        <w:t>投标人须</w:t>
      </w:r>
      <w:r>
        <w:rPr>
          <w:rFonts w:hint="eastAsia" w:ascii="宋体" w:hAnsi="宋体" w:eastAsia="宋体" w:cs="宋体"/>
          <w:color w:val="auto"/>
          <w:sz w:val="24"/>
          <w:highlight w:val="none"/>
          <w:u w:val="none"/>
        </w:rPr>
        <w:t>可在全国投资项目在线审批监管平台工程咨询单位名录中查询（https://new.tzxm.gov.cn//tzpt/statics/html/consult/1.shtml）</w:t>
      </w:r>
      <w:r>
        <w:rPr>
          <w:rFonts w:hint="eastAsia" w:ascii="宋体" w:hAnsi="宋体" w:eastAsia="宋体" w:cs="宋体"/>
          <w:color w:val="auto"/>
          <w:sz w:val="24"/>
          <w:highlight w:val="none"/>
          <w:u w:val="none"/>
          <w:lang w:val="en-US" w:eastAsia="zh-CN"/>
        </w:rPr>
        <w:t>且咨询专业包含“生态建设和环境工程”或“其他（海洋工程）”；</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投标人</w:t>
      </w:r>
      <w:r>
        <w:rPr>
          <w:rFonts w:hint="eastAsia" w:ascii="宋体" w:hAnsi="宋体" w:eastAsia="宋体" w:cs="宋体"/>
          <w:sz w:val="24"/>
          <w:highlight w:val="none"/>
        </w:rPr>
        <w:t>不得被列入“失信被执行人”或“失信惩戒对象”或“重大税收违法案件当事人”，以“信用中国”网站（www.creditchina.gov.cn）查询为准。（需在</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公告发布后从“信用中国”网站打印查询结果并加盖公章）</w:t>
      </w:r>
      <w:r>
        <w:rPr>
          <w:rFonts w:hint="eastAsia" w:ascii="宋体" w:hAnsi="宋体" w:eastAsia="宋体" w:cs="宋体"/>
          <w:sz w:val="24"/>
          <w:highlight w:val="none"/>
          <w:lang w:eastAsia="zh-CN"/>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本项目不接受联合体投标申请；</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单位负责人为同一人或者存在控股、管理关系的不同单位，不得参加同一招标项目投标</w:t>
      </w:r>
      <w:r>
        <w:rPr>
          <w:rFonts w:hint="eastAsia" w:ascii="宋体" w:hAnsi="宋体" w:eastAsia="宋体" w:cs="宋体"/>
          <w:color w:val="auto"/>
          <w:kern w:val="0"/>
          <w:sz w:val="24"/>
          <w:szCs w:val="28"/>
          <w:highlight w:val="none"/>
          <w:lang w:eastAsia="zh-CN"/>
        </w:rPr>
        <w:t>。</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资格审查方式：资格后审。</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招标文件的获取：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1.凡有意参加投标者，</w:t>
      </w:r>
      <w:r>
        <w:rPr>
          <w:rFonts w:hint="eastAsia" w:ascii="宋体" w:hAnsi="宋体" w:eastAsia="宋体" w:cs="宋体"/>
          <w:color w:val="auto"/>
          <w:sz w:val="24"/>
          <w:szCs w:val="24"/>
          <w:highlight w:val="none"/>
          <w:lang w:val="en-US" w:eastAsia="zh-CN"/>
        </w:rPr>
        <w:t>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领取</w:t>
      </w:r>
      <w:r>
        <w:rPr>
          <w:rFonts w:hint="eastAsia" w:ascii="宋体" w:hAnsi="宋体" w:eastAsia="宋体" w:cs="宋体"/>
          <w:color w:val="auto"/>
          <w:sz w:val="24"/>
          <w:szCs w:val="24"/>
          <w:highlight w:val="none"/>
        </w:rPr>
        <w:t>招标文件时间：自</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16:00</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17:00</w:t>
      </w:r>
      <w:r>
        <w:rPr>
          <w:rFonts w:hint="eastAsia" w:ascii="宋体" w:hAnsi="宋体" w:eastAsia="宋体" w:cs="宋体"/>
          <w:color w:val="auto"/>
          <w:sz w:val="24"/>
          <w:szCs w:val="24"/>
          <w:highlight w:val="none"/>
        </w:rPr>
        <w:t>止。</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投标文件的递交及开标：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1.投标文件递交的截止时间和开标时间：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日上午9时30分</w:t>
      </w:r>
      <w:r>
        <w:rPr>
          <w:rFonts w:hint="eastAsia" w:ascii="宋体" w:hAnsi="宋体" w:eastAsia="宋体" w:cs="宋体"/>
          <w:color w:val="auto"/>
          <w:sz w:val="24"/>
          <w:szCs w:val="24"/>
          <w:highlight w:val="none"/>
        </w:rPr>
        <w:t>（北京时间）。届时请参加投标的代表出席开标仪式。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2.投标文件递交地点及开标地点：</w:t>
      </w:r>
      <w:r>
        <w:rPr>
          <w:rFonts w:hint="eastAsia" w:ascii="宋体" w:hAnsi="宋体" w:eastAsia="宋体" w:cs="宋体"/>
          <w:color w:val="auto"/>
          <w:sz w:val="24"/>
          <w:highlight w:val="none"/>
        </w:rPr>
        <w:t>在“辽宁省公共资源交易一张网电子化平台（https://www.lnsggzy.com/EpointSSO/login/oauth2login）”上传投标文件。</w:t>
      </w:r>
    </w:p>
    <w:p>
      <w:pPr>
        <w:numPr>
          <w:ilvl w:val="0"/>
          <w:numId w:val="3"/>
        </w:numPr>
        <w:tabs>
          <w:tab w:val="left" w:pos="1418"/>
        </w:tabs>
        <w:spacing w:line="360" w:lineRule="auto"/>
        <w:ind w:left="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发布公告的媒介：</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次招标</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辽宁省招标投标监管网</w:t>
      </w:r>
      <w:r>
        <w:rPr>
          <w:rFonts w:hint="eastAsia" w:ascii="宋体" w:hAnsi="宋体" w:cs="宋体"/>
          <w:color w:val="auto"/>
          <w:sz w:val="24"/>
          <w:szCs w:val="24"/>
          <w:highlight w:val="none"/>
          <w:lang w:val="en-US" w:eastAsia="zh-CN"/>
        </w:rPr>
        <w:t>、</w:t>
      </w:r>
      <w:r>
        <w:rPr>
          <w:rFonts w:ascii="Helvetica" w:hAnsi="Helvetica" w:eastAsia="Helvetica" w:cs="Helvetica"/>
          <w:i w:val="0"/>
          <w:iCs w:val="0"/>
          <w:caps w:val="0"/>
          <w:color w:val="000000"/>
          <w:spacing w:val="0"/>
          <w:sz w:val="24"/>
          <w:szCs w:val="24"/>
          <w:shd w:val="clear" w:fill="FFFFFF"/>
        </w:rPr>
        <w:t>辽宁省公共资源交易网</w:t>
      </w:r>
      <w:r>
        <w:rPr>
          <w:rFonts w:hint="eastAsia" w:ascii="Helvetica" w:hAnsi="Helvetica" w:eastAsia="宋体" w:cs="Helvetica"/>
          <w:i w:val="0"/>
          <w:iCs w:val="0"/>
          <w:caps w:val="0"/>
          <w:color w:val="000000"/>
          <w:spacing w:val="0"/>
          <w:sz w:val="24"/>
          <w:szCs w:val="24"/>
          <w:shd w:val="clear" w:fill="FFFFFF"/>
          <w:lang w:val="en-US" w:eastAsia="zh-CN"/>
        </w:rPr>
        <w:t>及营口市公共资源交易网</w:t>
      </w:r>
      <w:bookmarkStart w:id="335" w:name="_GoBack"/>
      <w:bookmarkEnd w:id="335"/>
      <w:r>
        <w:rPr>
          <w:rFonts w:hint="eastAsia" w:ascii="宋体" w:hAnsi="宋体" w:eastAsia="宋体" w:cs="宋体"/>
          <w:color w:val="auto"/>
          <w:sz w:val="24"/>
          <w:szCs w:val="24"/>
          <w:highlight w:val="none"/>
        </w:rPr>
        <w:t>上发布。</w:t>
      </w:r>
    </w:p>
    <w:p>
      <w:pPr>
        <w:numPr>
          <w:ilvl w:val="0"/>
          <w:numId w:val="3"/>
        </w:numPr>
        <w:tabs>
          <w:tab w:val="left" w:pos="1418"/>
        </w:tabs>
        <w:spacing w:line="360" w:lineRule="auto"/>
        <w:ind w:left="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联系方式</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营口市自然资源局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地址：营口市站前区辽河大街东14-5号</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李先生</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13390475155</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招标代理机构：辽宁国信建设工程管理有限公司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联系地址：营口市站前区东新路7-12号</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魏先生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联系电话：0417-3355086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传真：0417-3355059</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lang w:eastAsia="zh-CN"/>
        </w:rPr>
        <w:t>gxzbscb@163.com</w:t>
      </w: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right="120"/>
        <w:jc w:val="righ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4"/>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8" w:name="_Toc344394138"/>
      <w:bookmarkStart w:id="9" w:name="_Toc349568710"/>
      <w:bookmarkStart w:id="10" w:name="_Toc350515647"/>
      <w:bookmarkStart w:id="11" w:name="_Toc343510552"/>
      <w:bookmarkStart w:id="12" w:name="_Toc19585"/>
      <w:bookmarkStart w:id="13" w:name="_Toc24940"/>
      <w:bookmarkStart w:id="14" w:name="_Toc349568451"/>
      <w:r>
        <w:rPr>
          <w:rFonts w:hint="eastAsia" w:ascii="宋体" w:hAnsi="宋体" w:eastAsia="宋体" w:cs="宋体"/>
          <w:color w:val="auto"/>
          <w:szCs w:val="24"/>
          <w:highlight w:val="none"/>
        </w:rPr>
        <w:t>投标人须知</w:t>
      </w:r>
      <w:r>
        <w:rPr>
          <w:rFonts w:hint="eastAsia" w:ascii="宋体" w:hAnsi="宋体" w:eastAsia="宋体" w:cs="宋体"/>
          <w:color w:val="auto"/>
          <w:w w:val="90"/>
          <w:highlight w:val="none"/>
        </w:rPr>
        <w:t>前附表</w:t>
      </w:r>
      <w:bookmarkEnd w:id="8"/>
      <w:bookmarkEnd w:id="9"/>
      <w:bookmarkEnd w:id="10"/>
      <w:bookmarkEnd w:id="11"/>
      <w:bookmarkEnd w:id="12"/>
      <w:bookmarkEnd w:id="13"/>
      <w:bookmarkEnd w:id="14"/>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spacing w:afterLines="50" w:line="360" w:lineRule="auto"/>
        <w:ind w:firstLine="442"/>
        <w:jc w:val="center"/>
        <w:rPr>
          <w:rFonts w:hint="eastAsia" w:ascii="宋体" w:hAnsi="宋体" w:eastAsia="宋体" w:cs="宋体"/>
          <w:b/>
          <w:color w:val="auto"/>
          <w:w w:val="90"/>
          <w:sz w:val="36"/>
          <w:highlight w:val="none"/>
        </w:rPr>
      </w:pPr>
      <w:r>
        <w:rPr>
          <w:rFonts w:hint="eastAsia" w:ascii="宋体" w:hAnsi="宋体" w:eastAsia="宋体" w:cs="宋体"/>
          <w:b/>
          <w:color w:val="auto"/>
          <w:w w:val="90"/>
          <w:sz w:val="36"/>
          <w:highlight w:val="none"/>
        </w:rPr>
        <w:br w:type="page"/>
      </w:r>
      <w:r>
        <w:rPr>
          <w:rFonts w:hint="eastAsia" w:ascii="宋体" w:hAnsi="宋体" w:eastAsia="宋体" w:cs="宋体"/>
          <w:b/>
          <w:color w:val="auto"/>
          <w:w w:val="90"/>
          <w:sz w:val="36"/>
          <w:highlight w:val="none"/>
        </w:rPr>
        <w:t>一、投标人须知前附表</w:t>
      </w:r>
    </w:p>
    <w:p>
      <w:pPr>
        <w:tabs>
          <w:tab w:val="left" w:pos="7770"/>
        </w:tabs>
        <w:autoSpaceDE w:val="0"/>
        <w:autoSpaceDN w:val="0"/>
        <w:spacing w:line="360" w:lineRule="auto"/>
        <w:rPr>
          <w:rFonts w:hint="eastAsia" w:ascii="宋体" w:hAnsi="宋体" w:eastAsia="宋体" w:cs="宋体"/>
          <w:color w:val="auto"/>
          <w:highlight w:val="none"/>
        </w:rPr>
      </w:pPr>
    </w:p>
    <w:tbl>
      <w:tblPr>
        <w:tblStyle w:val="26"/>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815"/>
        <w:gridCol w:w="86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blHeader/>
          <w:jc w:val="center"/>
        </w:trPr>
        <w:tc>
          <w:tcPr>
            <w:tcW w:w="560"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项号</w:t>
            </w:r>
          </w:p>
        </w:tc>
        <w:tc>
          <w:tcPr>
            <w:tcW w:w="815"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647"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atLeast"/>
          <w:jc w:val="center"/>
        </w:trPr>
        <w:tc>
          <w:tcPr>
            <w:tcW w:w="10022" w:type="dxa"/>
            <w:gridSpan w:val="3"/>
            <w:shd w:val="clear" w:color="auto" w:fill="E6E6E6"/>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 和 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1"/>
              <w:numPr>
                <w:ilvl w:val="0"/>
                <w:numId w:val="5"/>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bottom w:val="single" w:color="auto" w:sz="6" w:space="0"/>
            </w:tcBorders>
            <w:shd w:val="clear" w:color="auto" w:fill="FFFFFF"/>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3.1</w:t>
            </w:r>
          </w:p>
        </w:tc>
        <w:tc>
          <w:tcPr>
            <w:tcW w:w="8647" w:type="dxa"/>
            <w:shd w:val="clear" w:color="auto" w:fill="FFFFFF"/>
            <w:vAlign w:val="center"/>
          </w:tcPr>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val="en-US" w:eastAsia="zh-CN"/>
              </w:rPr>
              <w:t>中央资金</w:t>
            </w:r>
            <w:r>
              <w:rPr>
                <w:rFonts w:hint="eastAsia" w:ascii="宋体" w:hAnsi="宋体" w:eastAsia="宋体" w:cs="宋体"/>
                <w:color w:val="auto"/>
                <w:sz w:val="24"/>
                <w:szCs w:val="24"/>
                <w:highlight w:val="none"/>
              </w:rPr>
              <w:t>，已落实。估算价：</w:t>
            </w:r>
            <w:r>
              <w:rPr>
                <w:rFonts w:hint="eastAsia" w:ascii="宋体" w:hAnsi="宋体" w:eastAsia="宋体" w:cs="宋体"/>
                <w:color w:val="auto"/>
                <w:sz w:val="24"/>
                <w:szCs w:val="24"/>
                <w:highlight w:val="none"/>
                <w:lang w:val="en-US" w:eastAsia="zh-CN"/>
              </w:rPr>
              <w:t xml:space="preserve">95.3 </w:t>
            </w:r>
            <w:r>
              <w:rPr>
                <w:rFonts w:hint="eastAsia" w:ascii="宋体" w:hAnsi="宋体" w:eastAsia="宋体" w:cs="宋体"/>
                <w:color w:val="auto"/>
                <w:sz w:val="24"/>
                <w:szCs w:val="24"/>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1"/>
              <w:numPr>
                <w:ilvl w:val="0"/>
                <w:numId w:val="5"/>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top w:val="single" w:color="auto" w:sz="6" w:space="0"/>
              <w:bottom w:val="single" w:color="auto" w:sz="6" w:space="0"/>
            </w:tcBorders>
            <w:shd w:val="clear" w:color="auto" w:fill="FFFFFF"/>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647" w:type="dxa"/>
            <w:shd w:val="clear" w:color="auto" w:fill="FFFFFF"/>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招标方式：公开招标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647" w:type="dxa"/>
            <w:vAlign w:val="center"/>
          </w:tcPr>
          <w:p>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highlight w:val="none"/>
                <w:lang w:eastAsia="zh-CN"/>
              </w:rPr>
              <w:t>辽宁省营口市海洋生态保护修复工程项目实施方案编制服务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8647" w:type="dxa"/>
            <w:vAlign w:val="center"/>
          </w:tcPr>
          <w:p>
            <w:pPr>
              <w:snapToGrid w:val="0"/>
              <w:spacing w:line="360" w:lineRule="auto"/>
              <w:rPr>
                <w:rFonts w:hint="eastAsia" w:ascii="宋体" w:hAnsi="宋体" w:eastAsia="宋体" w:cs="宋体"/>
                <w:bCs/>
                <w:color w:val="auto"/>
                <w:kern w:val="0"/>
                <w:sz w:val="24"/>
                <w:highlight w:val="none"/>
                <w:lang w:eastAsia="zh-CN"/>
              </w:rPr>
            </w:pPr>
            <w:r>
              <w:rPr>
                <w:rFonts w:hint="eastAsia" w:ascii="宋体" w:hAnsi="宋体" w:eastAsia="宋体" w:cs="宋体"/>
                <w:color w:val="auto"/>
                <w:sz w:val="24"/>
                <w:szCs w:val="24"/>
                <w:highlight w:val="none"/>
              </w:rPr>
              <w:t>招标人名称：</w:t>
            </w:r>
            <w:r>
              <w:rPr>
                <w:rFonts w:hint="eastAsia" w:ascii="宋体" w:hAnsi="宋体" w:eastAsia="宋体" w:cs="宋体"/>
                <w:bCs/>
                <w:color w:val="auto"/>
                <w:kern w:val="0"/>
                <w:sz w:val="24"/>
                <w:highlight w:val="none"/>
                <w:lang w:eastAsia="zh-CN"/>
              </w:rPr>
              <w:t>营口市自然资源局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8647" w:type="dxa"/>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招标代理机构名称：</w:t>
            </w:r>
            <w:r>
              <w:rPr>
                <w:rFonts w:hint="eastAsia" w:ascii="宋体" w:hAnsi="宋体" w:eastAsia="宋体" w:cs="宋体"/>
                <w:color w:val="auto"/>
                <w:sz w:val="24"/>
                <w:highlight w:val="none"/>
              </w:rPr>
              <w:t>辽宁国信建设工程管理有限公司</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highlight w:val="none"/>
              </w:rPr>
              <w:t>营口市站前区东新路7-12号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8647" w:type="dxa"/>
            <w:vAlign w:val="center"/>
          </w:tcPr>
          <w:p>
            <w:pPr>
              <w:tabs>
                <w:tab w:val="left" w:pos="993"/>
                <w:tab w:val="left" w:pos="1134"/>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拟委托1家服务机构提供辽宁省营口市海洋生态保护修复工程项目实施方案编制服务。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1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8647" w:type="dxa"/>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：自合同签订之日起30日内完成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647" w:type="dxa"/>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r>
              <w:rPr>
                <w:rFonts w:hint="eastAsia" w:ascii="宋体" w:hAnsi="宋体" w:eastAsia="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8647" w:type="dxa"/>
            <w:vAlign w:val="center"/>
          </w:tcPr>
          <w:p>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质量要求：</w:t>
            </w:r>
            <w:r>
              <w:rPr>
                <w:rFonts w:hint="eastAsia" w:ascii="宋体" w:hAnsi="宋体" w:eastAsia="宋体" w:cs="宋体"/>
                <w:color w:val="auto"/>
                <w:sz w:val="24"/>
                <w:highlight w:val="none"/>
                <w:lang w:val="en-US" w:eastAsia="zh-CN"/>
              </w:rPr>
              <w:t>合格，文件满足国内报批的要求。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8647"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资格审查方式：资格后审。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投标人资格条件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647" w:type="dxa"/>
            <w:tcBorders>
              <w:top w:val="single" w:color="auto" w:sz="6" w:space="0"/>
              <w:bottom w:val="single" w:color="auto" w:sz="6"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本次招标实行资格后审，投标人的资格要求同本项目招标公告《投标资格及报名条件》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现场踏勘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8647" w:type="dxa"/>
            <w:tcBorders>
              <w:top w:val="single" w:color="auto" w:sz="6" w:space="0"/>
              <w:bottom w:val="single" w:color="auto" w:sz="6"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招标人不统一组织踏勘。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投标人对招标文件提出的异议及要求澄清的截止时间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1、投标人对招标文件提出异议的截止时间：各投标人应在投标截止时间十（10）天前以书面形式向招标代理提出（电话0417-3355086）。对各投标人提出的疑问，招标人以书面形式回答。</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2、投标人要求澄清招标文件的截止时间为投标截止时间15日前。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tcBorders>
            <w:shd w:val="clear" w:color="auto" w:fill="D9D9D9"/>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投  标  报  价  和  货  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sz w:val="24"/>
                <w:highlight w:val="none"/>
              </w:rPr>
            </w:pPr>
            <w:r>
              <w:rPr>
                <w:rFonts w:hint="eastAsia" w:ascii="宋体" w:hAnsi="宋体" w:eastAsia="宋体" w:cs="宋体"/>
                <w:color w:val="auto"/>
                <w:sz w:val="24"/>
                <w:highlight w:val="none"/>
              </w:rPr>
              <w:t>投标报价方式：</w:t>
            </w:r>
            <w:r>
              <w:rPr>
                <w:rFonts w:hint="eastAsia" w:ascii="宋体" w:hAnsi="宋体" w:eastAsia="宋体" w:cs="宋体"/>
                <w:sz w:val="24"/>
                <w:highlight w:val="none"/>
              </w:rPr>
              <w:t>投标报价应为</w:t>
            </w:r>
            <w:r>
              <w:rPr>
                <w:rFonts w:hint="eastAsia" w:ascii="宋体" w:hAnsi="宋体" w:eastAsia="宋体" w:cs="宋体"/>
                <w:sz w:val="24"/>
                <w:highlight w:val="none"/>
                <w:lang w:eastAsia="zh-CN"/>
              </w:rPr>
              <w:t>固定总价</w:t>
            </w:r>
            <w:r>
              <w:rPr>
                <w:rFonts w:hint="eastAsia" w:ascii="宋体" w:hAnsi="宋体" w:eastAsia="宋体" w:cs="宋体"/>
                <w:sz w:val="24"/>
                <w:highlight w:val="none"/>
              </w:rPr>
              <w:t>的报价方式，投标人根据招标人提供的资料自行填报</w:t>
            </w:r>
            <w:r>
              <w:rPr>
                <w:rFonts w:hint="eastAsia" w:ascii="宋体" w:hAnsi="宋体" w:eastAsia="宋体" w:cs="宋体"/>
                <w:sz w:val="24"/>
                <w:highlight w:val="none"/>
                <w:lang w:eastAsia="zh-CN"/>
              </w:rPr>
              <w:t>固定总价</w:t>
            </w:r>
            <w:r>
              <w:rPr>
                <w:rFonts w:hint="eastAsia" w:ascii="宋体" w:hAnsi="宋体" w:eastAsia="宋体" w:cs="宋体"/>
                <w:sz w:val="24"/>
                <w:highlight w:val="none"/>
              </w:rPr>
              <w:t>，其价格应包含完成所需的一切费用。按可调整价格报价的投标文件将被视为不响应招标文件。</w:t>
            </w:r>
          </w:p>
          <w:p>
            <w:pPr>
              <w:snapToGrid w:val="0"/>
              <w:spacing w:line="360" w:lineRule="auto"/>
              <w:jc w:val="left"/>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本项目最高投标限价：95.3万元。投标人所填报价不得高于上述最高限价，否则按废标处理。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8647" w:type="dxa"/>
            <w:tcBorders>
              <w:top w:val="single" w:color="auto" w:sz="6"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6" w:hRule="atLeast"/>
          <w:jc w:val="center"/>
        </w:trPr>
        <w:tc>
          <w:tcPr>
            <w:tcW w:w="10022" w:type="dxa"/>
            <w:gridSpan w:val="3"/>
            <w:shd w:val="clear" w:color="auto" w:fill="E6E6E6"/>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 标 文 件 的 编 制 和 递 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3"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647" w:type="dxa"/>
            <w:vAlign w:val="center"/>
          </w:tcPr>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投标保证金数额：人民币</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万元整（￥</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.00元）。</w:t>
            </w:r>
          </w:p>
          <w:p>
            <w:pPr>
              <w:spacing w:line="288" w:lineRule="auto"/>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保函或投标单位基本账户银行出具的电汇。</w:t>
            </w:r>
          </w:p>
          <w:p>
            <w:pPr>
              <w:spacing w:line="288" w:lineRule="auto"/>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采用电汇方式时：</w:t>
            </w:r>
          </w:p>
          <w:p>
            <w:pPr>
              <w:spacing w:line="288" w:lineRule="auto"/>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投标保证金收款单位：</w:t>
            </w:r>
          </w:p>
          <w:p>
            <w:pPr>
              <w:spacing w:line="288" w:lineRule="auto"/>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开户银行：</w:t>
            </w:r>
          </w:p>
          <w:p>
            <w:pPr>
              <w:spacing w:line="288" w:lineRule="auto"/>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账号：</w:t>
            </w:r>
          </w:p>
          <w:p>
            <w:pPr>
              <w:spacing w:line="360" w:lineRule="auto"/>
              <w:ind w:firstLine="500"/>
              <w:rPr>
                <w:rFonts w:hint="eastAsia" w:ascii="宋体" w:hAnsi="宋体" w:eastAsia="宋体" w:cs="宋体"/>
                <w:i/>
                <w:color w:val="auto"/>
                <w:sz w:val="24"/>
                <w:szCs w:val="24"/>
                <w:highlight w:val="none"/>
              </w:rPr>
            </w:pPr>
            <w:r>
              <w:rPr>
                <w:rFonts w:hint="eastAsia" w:ascii="宋体" w:hAnsi="宋体" w:eastAsia="宋体" w:cs="宋体"/>
                <w:i w:val="0"/>
                <w:iCs/>
                <w:color w:val="auto"/>
                <w:sz w:val="24"/>
                <w:szCs w:val="24"/>
                <w:highlight w:val="none"/>
              </w:rPr>
              <w:t>投标保证金应在投标截止时间前，按招标文件的要求递交投标保证金，以到账为准，投标截止时间之后递交的投标保证金将被拒绝。保函的有效期应与投标有效期一致或长于投标有效期。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647" w:type="dxa"/>
            <w:vAlign w:val="center"/>
          </w:tcPr>
          <w:p>
            <w:pPr>
              <w:snapToGrid w:val="0"/>
              <w:spacing w:line="360" w:lineRule="auto"/>
              <w:jc w:val="left"/>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投标有效期：</w:t>
            </w:r>
            <w:r>
              <w:rPr>
                <w:rFonts w:hint="eastAsia" w:ascii="宋体" w:hAnsi="宋体" w:eastAsia="宋体" w:cs="宋体"/>
                <w:color w:val="auto"/>
                <w:sz w:val="24"/>
                <w:szCs w:val="24"/>
                <w:highlight w:val="none"/>
                <w:u w:val="single"/>
              </w:rPr>
              <w:t>90日历</w:t>
            </w:r>
            <w:r>
              <w:rPr>
                <w:rFonts w:hint="eastAsia" w:ascii="宋体" w:hAnsi="宋体" w:eastAsia="宋体" w:cs="宋体"/>
                <w:color w:val="auto"/>
                <w:sz w:val="24"/>
                <w:szCs w:val="24"/>
                <w:highlight w:val="none"/>
              </w:rPr>
              <w:t>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8647" w:type="dxa"/>
            <w:vAlign w:val="center"/>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1、正本</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本，副本</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本，封面应分别注明正、副本字样。</w:t>
            </w:r>
          </w:p>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2、投标文件电子文档贰份（U盘）。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8647" w:type="dxa"/>
            <w:vAlign w:val="center"/>
          </w:tcPr>
          <w:p>
            <w:pPr>
              <w:snapToGrid w:val="0"/>
              <w:spacing w:line="360" w:lineRule="auto"/>
              <w:jc w:val="left"/>
              <w:rPr>
                <w:rFonts w:hint="eastAsia" w:ascii="宋体" w:hAnsi="宋体" w:eastAsia="宋体" w:cs="宋体"/>
                <w:color w:val="auto"/>
                <w:sz w:val="24"/>
                <w:szCs w:val="24"/>
                <w:highlight w:val="yellow"/>
                <w:u w:val="single"/>
              </w:rPr>
            </w:pPr>
            <w:r>
              <w:rPr>
                <w:rFonts w:hint="eastAsia" w:ascii="宋体" w:hAnsi="宋体" w:eastAsia="宋体" w:cs="宋体"/>
                <w:color w:val="auto"/>
                <w:sz w:val="24"/>
                <w:szCs w:val="24"/>
                <w:highlight w:val="none"/>
              </w:rPr>
              <w:t>投标文件递交截止时间：</w:t>
            </w:r>
            <w:r>
              <w:rPr>
                <w:rFonts w:hint="eastAsia" w:ascii="宋体" w:hAnsi="宋体" w:eastAsia="宋体" w:cs="宋体"/>
                <w:color w:val="auto"/>
                <w:sz w:val="24"/>
                <w:szCs w:val="24"/>
                <w:highlight w:val="yellow"/>
                <w:u w:val="single"/>
                <w:lang w:eastAsia="zh-CN"/>
              </w:rPr>
              <w:t>2024年</w:t>
            </w:r>
            <w:r>
              <w:rPr>
                <w:rFonts w:hint="eastAsia" w:ascii="宋体" w:hAnsi="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lang w:eastAsia="zh-CN"/>
              </w:rPr>
              <w:t>月</w:t>
            </w:r>
            <w:r>
              <w:rPr>
                <w:rFonts w:hint="eastAsia" w:ascii="宋体" w:hAnsi="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日上午9时30分(北京时间)</w:t>
            </w:r>
          </w:p>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投标文件递交</w:t>
            </w:r>
            <w:r>
              <w:rPr>
                <w:rFonts w:hint="eastAsia" w:ascii="宋体" w:hAnsi="宋体" w:cs="宋体"/>
                <w:color w:val="auto"/>
                <w:sz w:val="24"/>
                <w:szCs w:val="24"/>
                <w:highlight w:val="none"/>
                <w:lang w:val="en-US" w:eastAsia="zh-CN"/>
              </w:rPr>
              <w:t>地址</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在“辽宁省公共资源交易一张网电子化平台（https://www.lnsggzy.com/EpointSSO/login/oauth2login）”上传投标文件。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p>
        </w:tc>
        <w:tc>
          <w:tcPr>
            <w:tcW w:w="8647" w:type="dxa"/>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开标时间：2024年  月  日上午9时30分(北京时间)</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开标方式：远程开标（不见面交易）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8" w:hRule="atLeast"/>
          <w:jc w:val="center"/>
        </w:trPr>
        <w:tc>
          <w:tcPr>
            <w:tcW w:w="10022" w:type="dxa"/>
            <w:gridSpan w:val="3"/>
            <w:shd w:val="clear" w:color="auto" w:fill="E0E0E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right w:val="single" w:color="auto" w:sz="4"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815" w:type="dxa"/>
            <w:tcBorders>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p>
        </w:tc>
        <w:tc>
          <w:tcPr>
            <w:tcW w:w="8647" w:type="dxa"/>
            <w:tcBorders>
              <w:left w:val="single" w:color="auto" w:sz="4"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评标方法及标准：详见招标文件第七章《评标办法》。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8647" w:type="dxa"/>
            <w:tcBorders>
              <w:top w:val="single" w:color="auto" w:sz="6" w:space="0"/>
              <w:bottom w:val="single" w:color="auto" w:sz="6" w:space="0"/>
            </w:tcBorders>
            <w:vAlign w:val="center"/>
          </w:tcPr>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sz w:val="24"/>
                <w:highlight w:val="none"/>
                <w:lang w:eastAsia="zh-CN"/>
              </w:rPr>
              <w:t>以</w:t>
            </w:r>
            <w:r>
              <w:rPr>
                <w:rFonts w:hint="eastAsia" w:ascii="宋体" w:hAnsi="宋体" w:eastAsia="宋体" w:cs="宋体"/>
                <w:sz w:val="24"/>
                <w:highlight w:val="none"/>
                <w:lang w:val="en-US" w:eastAsia="zh-CN"/>
              </w:rPr>
              <w:t>中标价为计算基数，</w:t>
            </w:r>
            <w:r>
              <w:rPr>
                <w:rFonts w:hint="eastAsia" w:ascii="宋体" w:hAnsi="宋体" w:eastAsia="宋体" w:cs="宋体"/>
                <w:sz w:val="24"/>
                <w:highlight w:val="none"/>
              </w:rPr>
              <w:t>参照原国家发展计划委员会《招标代理服务收费管理暂行办法》(计价格[2002]1980号文)(</w:t>
            </w:r>
            <w:r>
              <w:rPr>
                <w:rFonts w:hint="eastAsia" w:ascii="宋体" w:hAnsi="宋体" w:eastAsia="宋体" w:cs="宋体"/>
                <w:sz w:val="24"/>
                <w:highlight w:val="none"/>
                <w:lang w:val="en-US" w:eastAsia="zh-CN"/>
              </w:rPr>
              <w:t>服务</w:t>
            </w:r>
            <w:r>
              <w:rPr>
                <w:rFonts w:hint="eastAsia" w:ascii="宋体" w:hAnsi="宋体" w:eastAsia="宋体" w:cs="宋体"/>
                <w:sz w:val="24"/>
                <w:highlight w:val="none"/>
              </w:rPr>
              <w:t>类)</w:t>
            </w:r>
            <w:r>
              <w:rPr>
                <w:rFonts w:hint="eastAsia" w:ascii="宋体" w:hAnsi="宋体" w:eastAsia="宋体" w:cs="宋体"/>
                <w:sz w:val="24"/>
                <w:highlight w:val="none"/>
                <w:lang w:val="en-US" w:eastAsia="zh-CN"/>
              </w:rPr>
              <w:t>标准收取</w:t>
            </w:r>
            <w:r>
              <w:rPr>
                <w:rFonts w:hint="eastAsia" w:ascii="宋体" w:hAnsi="宋体" w:eastAsia="宋体" w:cs="宋体"/>
                <w:sz w:val="24"/>
                <w:highlight w:val="none"/>
              </w:rPr>
              <w:t>，由</w:t>
            </w:r>
            <w:r>
              <w:rPr>
                <w:rFonts w:hint="eastAsia" w:ascii="宋体" w:hAnsi="宋体" w:eastAsia="宋体" w:cs="宋体"/>
                <w:b/>
                <w:sz w:val="24"/>
                <w:highlight w:val="none"/>
                <w:u w:val="single"/>
              </w:rPr>
              <w:t>中标人</w:t>
            </w:r>
            <w:r>
              <w:rPr>
                <w:rFonts w:hint="eastAsia" w:ascii="宋体" w:hAnsi="宋体" w:eastAsia="宋体" w:cs="宋体"/>
                <w:sz w:val="24"/>
                <w:highlight w:val="none"/>
              </w:rPr>
              <w:t>在领取中标通知书的同时以现金或电汇向招标代理机构交纳招标代理服务费用。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公证服务费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022" w:type="dxa"/>
            <w:gridSpan w:val="3"/>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highlight w:val="none"/>
              </w:rPr>
              <w:t>招标代理机构服务质量监督电话：0417-3322810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numPr>
                <w:ilvl w:val="0"/>
                <w:numId w:val="6"/>
              </w:num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付款方式：分两次支付。第一次付款：自合同签订后15日内，支付至合同价款的20%；第二次付款：履约完成20日内，支付至合同价款的100%。二次付款均应提供有效发票（含税）。</w:t>
            </w:r>
          </w:p>
          <w:p>
            <w:pPr>
              <w:numPr>
                <w:ilvl w:val="0"/>
                <w:numId w:val="0"/>
              </w:numPr>
              <w:snapToGrid w:val="0"/>
              <w:spacing w:line="360" w:lineRule="auto"/>
              <w:jc w:val="left"/>
              <w:rPr>
                <w:rFonts w:hint="eastAsia" w:ascii="宋体" w:hAnsi="宋体" w:eastAsia="宋体" w:cs="宋体"/>
                <w:color w:val="auto"/>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交易中心服务费：按辽发改价格 (2023) 128 号规定执行。由中标人向营口市建设工程交易服务中心有限公司全额缴纳，此项费用不得在投标报价中单列。</w:t>
            </w:r>
          </w:p>
        </w:tc>
      </w:tr>
    </w:tbl>
    <w:p>
      <w:pPr>
        <w:tabs>
          <w:tab w:val="left" w:pos="7770"/>
        </w:tabs>
        <w:autoSpaceDE w:val="0"/>
        <w:autoSpaceDN w:val="0"/>
        <w:spacing w:line="360" w:lineRule="auto"/>
        <w:rPr>
          <w:rFonts w:hint="eastAsia" w:ascii="宋体" w:hAnsi="宋体" w:eastAsia="宋体" w:cs="宋体"/>
          <w:color w:val="auto"/>
          <w:highlight w:val="none"/>
        </w:rPr>
        <w:sectPr>
          <w:headerReference r:id="rId7"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pStyle w:val="4"/>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15" w:name="_Toc22177"/>
      <w:bookmarkStart w:id="16" w:name="_Toc349568452"/>
      <w:bookmarkStart w:id="17" w:name="_Toc350515648"/>
      <w:bookmarkStart w:id="18" w:name="_Toc343510553"/>
      <w:bookmarkStart w:id="19" w:name="_Toc7705"/>
      <w:bookmarkStart w:id="20" w:name="_Toc344394139"/>
      <w:bookmarkStart w:id="21" w:name="_Toc349568711"/>
      <w:r>
        <w:rPr>
          <w:rFonts w:hint="eastAsia" w:ascii="宋体" w:hAnsi="宋体" w:eastAsia="宋体" w:cs="宋体"/>
          <w:color w:val="auto"/>
          <w:szCs w:val="24"/>
          <w:highlight w:val="none"/>
        </w:rPr>
        <w:t>投标人须知</w:t>
      </w:r>
      <w:bookmarkEnd w:id="15"/>
      <w:bookmarkEnd w:id="16"/>
      <w:bookmarkEnd w:id="17"/>
      <w:bookmarkEnd w:id="18"/>
      <w:bookmarkEnd w:id="19"/>
      <w:bookmarkEnd w:id="20"/>
      <w:bookmarkEnd w:id="21"/>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投标人须知</w:t>
      </w:r>
    </w:p>
    <w:p>
      <w:pPr>
        <w:pStyle w:val="7"/>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（一）总   则</w:t>
      </w:r>
    </w:p>
    <w:p>
      <w:pPr>
        <w:pStyle w:val="8"/>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1、项目说明</w:t>
      </w:r>
    </w:p>
    <w:p>
      <w:pPr>
        <w:spacing w:line="360" w:lineRule="auto"/>
        <w:ind w:left="2161" w:leftChars="229" w:hanging="1680" w:hangingChars="7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1.1招标方式：公开招标</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1.2项目名称：</w:t>
      </w:r>
      <w:r>
        <w:rPr>
          <w:rFonts w:hint="eastAsia" w:ascii="宋体" w:hAnsi="宋体" w:eastAsia="宋体" w:cs="宋体"/>
          <w:color w:val="auto"/>
          <w:sz w:val="24"/>
          <w:highlight w:val="none"/>
          <w:lang w:eastAsia="zh-CN"/>
        </w:rPr>
        <w:t>辽宁省营口市海洋生态保护修复工程项目实施方案编制服务</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1.3招标人名称：</w:t>
      </w:r>
      <w:r>
        <w:rPr>
          <w:rFonts w:hint="eastAsia" w:ascii="宋体" w:hAnsi="宋体" w:eastAsia="宋体" w:cs="宋体"/>
          <w:color w:val="auto"/>
          <w:sz w:val="24"/>
          <w:highlight w:val="none"/>
          <w:lang w:eastAsia="zh-CN"/>
        </w:rPr>
        <w:t>营口市自然资源局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1.4招标代理机构名称：辽宁国信建设工程管理有限公司</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1.6质量要求：</w:t>
      </w:r>
      <w:r>
        <w:rPr>
          <w:rFonts w:hint="eastAsia" w:ascii="宋体" w:hAnsi="宋体" w:eastAsia="宋体" w:cs="宋体"/>
          <w:color w:val="auto"/>
          <w:sz w:val="24"/>
          <w:highlight w:val="none"/>
          <w:lang w:val="en-US" w:eastAsia="zh-CN"/>
        </w:rPr>
        <w:t>合格，文件满足国内报批的要求。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1.7本招标文件服从于国家、行业主管部门及地方的法律法规，本招标文件未能说明的部分，按照国家、行业主管部门及地方法律法规严格执行。</w:t>
      </w:r>
    </w:p>
    <w:p>
      <w:pPr>
        <w:pStyle w:val="8"/>
        <w:numPr>
          <w:ilvl w:val="0"/>
          <w:numId w:val="7"/>
        </w:numPr>
        <w:rPr>
          <w:rFonts w:hint="eastAsia" w:ascii="宋体" w:hAnsi="宋体" w:eastAsia="宋体" w:cs="宋体"/>
          <w:bCs/>
          <w:color w:val="auto"/>
          <w:highlight w:val="none"/>
        </w:rPr>
      </w:pPr>
      <w:r>
        <w:rPr>
          <w:rFonts w:hint="eastAsia" w:ascii="宋体" w:hAnsi="宋体" w:eastAsia="宋体" w:cs="宋体"/>
          <w:bCs/>
          <w:color w:val="auto"/>
          <w:highlight w:val="none"/>
        </w:rPr>
        <w:t>招标范围、交货期及合同期限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拟委托1家服务机构提供辽宁省营口市海洋生态保护修复工程项目实施方案编制服务。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2.2本招标项目的</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：详见投标人须知前附表。</w:t>
      </w:r>
    </w:p>
    <w:p>
      <w:pPr>
        <w:pStyle w:val="8"/>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3、资金来源</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3.1本招标项目资金来源详见本须知前附表第1项，其全部资金用于本项目供货合同项下的合格支付。</w:t>
      </w:r>
    </w:p>
    <w:p>
      <w:pPr>
        <w:pStyle w:val="8"/>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4、投标人资质要求</w:t>
      </w:r>
    </w:p>
    <w:p>
      <w:pPr>
        <w:pStyle w:val="32"/>
        <w:numPr>
          <w:ilvl w:val="0"/>
          <w:numId w:val="8"/>
        </w:numPr>
        <w:tabs>
          <w:tab w:val="left" w:pos="150"/>
          <w:tab w:val="left" w:pos="993"/>
        </w:tabs>
        <w:autoSpaceDE w:val="0"/>
        <w:autoSpaceDN w:val="0"/>
        <w:adjustRightInd w:val="0"/>
        <w:snapToGrid w:val="0"/>
        <w:spacing w:line="360" w:lineRule="auto"/>
        <w:ind w:left="2" w:firstLine="36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详见</w:t>
      </w:r>
      <w:r>
        <w:rPr>
          <w:rFonts w:hint="eastAsia" w:ascii="宋体" w:hAnsi="宋体" w:eastAsia="宋体" w:cs="宋体"/>
          <w:color w:val="auto"/>
          <w:sz w:val="24"/>
          <w:highlight w:val="none"/>
        </w:rPr>
        <w:t>本须知前附表第12项。</w:t>
      </w:r>
    </w:p>
    <w:p>
      <w:pPr>
        <w:pStyle w:val="32"/>
        <w:numPr>
          <w:ilvl w:val="1"/>
          <w:numId w:val="0"/>
        </w:numPr>
        <w:tabs>
          <w:tab w:val="left" w:pos="150"/>
          <w:tab w:val="left" w:pos="709"/>
          <w:tab w:val="left" w:pos="993"/>
        </w:tabs>
        <w:autoSpaceDE w:val="0"/>
        <w:autoSpaceDN w:val="0"/>
        <w:adjustRightInd w:val="0"/>
        <w:snapToGrid w:val="0"/>
        <w:spacing w:line="360" w:lineRule="auto"/>
        <w:ind w:left="2" w:hanging="2" w:hangingChars="1"/>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ab/>
      </w:r>
      <w:r>
        <w:rPr>
          <w:rFonts w:hint="eastAsia" w:ascii="宋体" w:hAnsi="宋体" w:eastAsia="宋体" w:cs="宋体"/>
          <w:bCs w:val="0"/>
          <w:color w:val="auto"/>
          <w:sz w:val="24"/>
          <w:highlight w:val="none"/>
        </w:rPr>
        <w:t xml:space="preserve">    </w:t>
      </w:r>
      <w:r>
        <w:rPr>
          <w:rFonts w:hint="eastAsia" w:ascii="宋体" w:hAnsi="宋体" w:eastAsia="宋体" w:cs="宋体"/>
          <w:b/>
          <w:color w:val="auto"/>
          <w:sz w:val="24"/>
          <w:highlight w:val="none"/>
        </w:rPr>
        <w:t>投标人发生合并、分立、破产等重大变化的，应当及时书面告知招标人。投标人不再具备招标文件规定的资格条件或者其投标影响招标公正性的，其投标无效。</w:t>
      </w:r>
    </w:p>
    <w:p>
      <w:pPr>
        <w:pStyle w:val="8"/>
        <w:numPr>
          <w:ilvl w:val="0"/>
          <w:numId w:val="9"/>
        </w:numPr>
        <w:rPr>
          <w:rFonts w:hint="eastAsia" w:ascii="宋体" w:hAnsi="宋体" w:eastAsia="宋体" w:cs="宋体"/>
          <w:bCs/>
          <w:color w:val="auto"/>
          <w:highlight w:val="none"/>
        </w:rPr>
      </w:pPr>
      <w:r>
        <w:rPr>
          <w:rFonts w:hint="eastAsia" w:ascii="宋体" w:hAnsi="宋体" w:eastAsia="宋体" w:cs="宋体"/>
          <w:bCs/>
          <w:color w:val="auto"/>
          <w:highlight w:val="none"/>
        </w:rPr>
        <w:t>资格审查方式</w:t>
      </w:r>
    </w:p>
    <w:p>
      <w:pPr>
        <w:pStyle w:val="32"/>
        <w:numPr>
          <w:ilvl w:val="1"/>
          <w:numId w:val="0"/>
        </w:numPr>
        <w:tabs>
          <w:tab w:val="left" w:pos="150"/>
          <w:tab w:val="left" w:pos="709"/>
          <w:tab w:val="left" w:pos="993"/>
        </w:tabs>
        <w:autoSpaceDE w:val="0"/>
        <w:autoSpaceDN w:val="0"/>
        <w:adjustRightInd w:val="0"/>
        <w:snapToGrid w:val="0"/>
        <w:spacing w:line="360" w:lineRule="auto"/>
        <w:ind w:left="426"/>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5.1</w:t>
      </w:r>
      <w:r>
        <w:rPr>
          <w:rFonts w:hint="eastAsia" w:ascii="宋体" w:hAnsi="宋体" w:eastAsia="宋体" w:cs="宋体"/>
          <w:color w:val="auto"/>
          <w:sz w:val="24"/>
          <w:highlight w:val="none"/>
        </w:rPr>
        <w:t>本招标项目资格审查方式详见本须知前附表第11项。</w:t>
      </w:r>
    </w:p>
    <w:p>
      <w:pPr>
        <w:pStyle w:val="8"/>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6、踏勘现场</w:t>
      </w:r>
    </w:p>
    <w:p>
      <w:pPr>
        <w:pStyle w:val="20"/>
        <w:ind w:firstLine="0"/>
        <w:rPr>
          <w:rFonts w:hint="eastAsia" w:ascii="宋体" w:hAnsi="宋体" w:eastAsia="宋体" w:cs="宋体"/>
          <w:color w:val="auto"/>
          <w:highlight w:val="none"/>
        </w:rPr>
      </w:pPr>
      <w:r>
        <w:rPr>
          <w:rFonts w:hint="eastAsia" w:ascii="宋体" w:hAnsi="宋体" w:eastAsia="宋体" w:cs="宋体"/>
          <w:color w:val="auto"/>
          <w:highlight w:val="none"/>
        </w:rPr>
        <w:t xml:space="preserve">    6.1 招标人不统一组织踏勘，投标人自行踏勘。投标人承担踏勘现场所发生的自身费用。</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6.2投标人及其代表必须承担在现场踏勘过程中，由于其的行为所造成的人身伤害（无论是否致命）、财产损失或损坏，以及其他任何原因造成的损失、损坏或费用。招标人在投标人及其代表踏勘中不负任何责任。</w:t>
      </w:r>
    </w:p>
    <w:p>
      <w:pPr>
        <w:pStyle w:val="20"/>
        <w:ind w:firstLine="532"/>
        <w:rPr>
          <w:rFonts w:hint="eastAsia" w:ascii="宋体" w:hAnsi="宋体" w:eastAsia="宋体" w:cs="宋体"/>
          <w:color w:val="auto"/>
          <w:highlight w:val="none"/>
        </w:rPr>
      </w:pPr>
      <w:r>
        <w:rPr>
          <w:rFonts w:hint="eastAsia" w:ascii="宋体" w:hAnsi="宋体" w:eastAsia="宋体" w:cs="宋体"/>
          <w:color w:val="auto"/>
          <w:highlight w:val="none"/>
        </w:rPr>
        <w:t>6.3 招标人向投标人提供的有关现场的数据和资料，是招标人现有的能被投标人利用的资料，招标人对投标人做出的任何推论、理解和结论均不负责任。</w:t>
      </w:r>
    </w:p>
    <w:p>
      <w:pPr>
        <w:pStyle w:val="20"/>
        <w:ind w:firstLine="532"/>
        <w:rPr>
          <w:rFonts w:hint="eastAsia" w:ascii="宋体" w:hAnsi="宋体" w:eastAsia="宋体" w:cs="宋体"/>
          <w:color w:val="auto"/>
          <w:highlight w:val="none"/>
        </w:rPr>
      </w:pPr>
      <w:r>
        <w:rPr>
          <w:rFonts w:hint="eastAsia" w:ascii="宋体" w:hAnsi="宋体" w:eastAsia="宋体" w:cs="宋体"/>
          <w:color w:val="auto"/>
          <w:highlight w:val="none"/>
        </w:rPr>
        <w:t>6.4 经招标人允许，投标人可为踏勘目的进入招标人的项目现场，但投标人不得因此使招标人承担有关的责任和蒙受损失。投标人应承担踏勘现场的责任和风险。</w:t>
      </w:r>
    </w:p>
    <w:p>
      <w:pPr>
        <w:pStyle w:val="8"/>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7、投标费用</w:t>
      </w:r>
    </w:p>
    <w:p>
      <w:pPr>
        <w:pStyle w:val="20"/>
        <w:ind w:firstLine="532"/>
        <w:rPr>
          <w:rFonts w:hint="eastAsia" w:ascii="宋体" w:hAnsi="宋体" w:eastAsia="宋体" w:cs="宋体"/>
          <w:color w:val="auto"/>
          <w:highlight w:val="none"/>
        </w:rPr>
      </w:pPr>
      <w:r>
        <w:rPr>
          <w:rFonts w:hint="eastAsia" w:ascii="宋体" w:hAnsi="宋体" w:eastAsia="宋体" w:cs="宋体"/>
          <w:color w:val="auto"/>
          <w:highlight w:val="none"/>
        </w:rPr>
        <w:t>7.1招标人不承担投标人编制投标文件与递交投标文件所涉及的费用和应由投标人承担其参加本招标活动自身所发生的费用，论投标的结果如何，招标人均无义务和责任承担上述费用。</w:t>
      </w:r>
    </w:p>
    <w:p>
      <w:pPr>
        <w:pStyle w:val="20"/>
        <w:ind w:firstLine="532"/>
        <w:rPr>
          <w:rFonts w:hint="eastAsia" w:ascii="宋体" w:hAnsi="宋体" w:eastAsia="宋体" w:cs="宋体"/>
          <w:b/>
          <w:color w:val="auto"/>
          <w:highlight w:val="none"/>
        </w:rPr>
      </w:pPr>
      <w:r>
        <w:rPr>
          <w:rFonts w:hint="eastAsia" w:ascii="宋体" w:hAnsi="宋体" w:eastAsia="宋体" w:cs="宋体"/>
          <w:color w:val="auto"/>
          <w:highlight w:val="none"/>
        </w:rPr>
        <w:t>7.2</w:t>
      </w:r>
      <w:r>
        <w:rPr>
          <w:rFonts w:hint="eastAsia" w:ascii="宋体" w:hAnsi="宋体" w:eastAsia="宋体" w:cs="宋体"/>
          <w:b w:val="0"/>
          <w:bCs/>
          <w:color w:val="auto"/>
          <w:highlight w:val="none"/>
        </w:rPr>
        <w:t>招标代理服务费：向中标人收取招标代理服务费。</w:t>
      </w:r>
    </w:p>
    <w:p>
      <w:pPr>
        <w:pStyle w:val="7"/>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（二） 招标文件</w:t>
      </w:r>
    </w:p>
    <w:p>
      <w:pPr>
        <w:pStyle w:val="8"/>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8、招标文件的组成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8.1招标文件包括本招标文件目录和附件所示的全部内容。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除8.1内容外，招标人在提交投标文件截止时间15日前，以书面形式发出的对招标文件的澄清或修改、补充内容，均为招标文件的组成部分，对招标人和投标人起约束作用。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投标人获取招标文件后，应仔细检查招标文件的所有内容，如有残缺等问题应在提交投标文件截止时间15日前以书面形式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8"/>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9、投标人对招标文件提出异议及要求澄清的截止时间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9.1.投标人对招标文件提出异议的截止时间：各投标人应在投标截止时间十（10）天前以书面形式向招标代理提出（电话0417-3355086）。对各投标人提出的疑问，招标人以书面形式回答。</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9.2投标人要求澄清招标文件的截止时间为投标截止时间15日前。</w:t>
      </w:r>
    </w:p>
    <w:p>
      <w:pPr>
        <w:pStyle w:val="8"/>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10、招标文件的修改</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10.1 在投标截止时间前，招标人无论出于自己的考虑，还是出于对投标人提问的澄清，均可对招标文件用补充文件的方式进行修改。</w:t>
      </w:r>
    </w:p>
    <w:p>
      <w:pPr>
        <w:spacing w:line="360" w:lineRule="auto"/>
        <w:ind w:firstLine="532"/>
        <w:rPr>
          <w:rFonts w:hint="eastAsia" w:ascii="宋体" w:hAnsi="宋体" w:eastAsia="宋体" w:cs="宋体"/>
          <w:b/>
          <w:color w:val="auto"/>
          <w:sz w:val="24"/>
          <w:highlight w:val="none"/>
        </w:rPr>
      </w:pPr>
      <w:r>
        <w:rPr>
          <w:rFonts w:hint="eastAsia" w:ascii="宋体" w:hAnsi="宋体" w:eastAsia="宋体" w:cs="宋体"/>
          <w:color w:val="auto"/>
          <w:sz w:val="24"/>
          <w:highlight w:val="none"/>
        </w:rPr>
        <w:t>10.2 对招标文件的修改，将以书面的形式通知每一投标人。投标人在收到招标文件修改通知后应立即以书面方式告知招标单位予以确认。补充文件将作为招标文件的组成部分，对所有投标人均有约束力。</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10.3为使投标人有足够的时间按招标文件的修改要求考虑修正投标文件，招标人可酌情推迟投标的截止日期和开标日期，并将此变更通知每一投标人。如果修改招标文件的时间距投标截止时间不足15日，并且修改内容影响投标文件编制的，将相应延长投标截止时间。</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r>
        <w:rPr>
          <w:rFonts w:hint="eastAsia" w:ascii="宋体" w:hAnsi="宋体" w:eastAsia="宋体" w:cs="宋体"/>
          <w:bCs/>
          <w:color w:val="auto"/>
          <w:kern w:val="0"/>
          <w:sz w:val="24"/>
          <w:highlight w:val="none"/>
        </w:rPr>
        <w:t>招标文件的澄清（招标答疑）、修改、补充等内容均以书面形式明确的内容为准。当招标文件、招标文件的澄清（招标答疑）、修改、补充等在同一内容的表述上不一致时，以最后发出的书面文件为准</w:t>
      </w:r>
      <w:r>
        <w:rPr>
          <w:rFonts w:hint="eastAsia" w:ascii="宋体" w:hAnsi="宋体" w:eastAsia="宋体" w:cs="宋体"/>
          <w:color w:val="auto"/>
          <w:sz w:val="24"/>
          <w:highlight w:val="none"/>
        </w:rPr>
        <w:t>。</w:t>
      </w:r>
    </w:p>
    <w:p>
      <w:pPr>
        <w:pStyle w:val="7"/>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（三）投标文件的编制</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11、编制要求</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11.1投标人应认真阅读招标文件的所有内容，按招标文件的要求提供投标文件，并保证提供的全部资料的真实性，以使其投标对招标文件做出实质性响应，否则，其投标将被拒绝。</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11.2投标的语言：投标人提交的投标文件以及投标人与招标代理机构就有关投标的所有来往函电均应以中文书写。</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11.3除项目规范另有规定外，投标文件使用的度量衡单位，均采用中华人民共和国法定计量单位。</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12、投标文件的组成</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12.1投标文件由投标函部分、商务部分、技术部分和资格审查部分，共四部分组成。投标人的编排必须严格按照本招标文件第六章（附件）投标文件格式的顺序统一装订及编排。</w:t>
      </w:r>
    </w:p>
    <w:p>
      <w:pPr>
        <w:autoSpaceDE w:val="0"/>
        <w:autoSpaceDN w:val="0"/>
        <w:adjustRightInd w:val="0"/>
        <w:spacing w:line="360" w:lineRule="auto"/>
        <w:ind w:left="134" w:leftChars="64" w:firstLine="372" w:firstLineChars="155"/>
        <w:rPr>
          <w:rFonts w:hint="eastAsia" w:ascii="宋体" w:hAnsi="宋体" w:eastAsia="宋体" w:cs="宋体"/>
          <w:color w:val="auto"/>
          <w:sz w:val="24"/>
          <w:highlight w:val="none"/>
        </w:rPr>
      </w:pPr>
      <w:r>
        <w:rPr>
          <w:rFonts w:hint="eastAsia" w:ascii="宋体" w:hAnsi="宋体" w:eastAsia="宋体" w:cs="宋体"/>
          <w:color w:val="auto"/>
          <w:sz w:val="24"/>
          <w:highlight w:val="none"/>
        </w:rPr>
        <w:t>12.2 投标人递交投标文件时还须同时提交投标文件的电子文档贰套。</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 xml:space="preserve">13、投标文件内容及格式    </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13.1投标人应按招标文件第12.1条规定的全部内容（但不限于）与要求编制投标文件，投标人提交的投标文件应当使用招标文件所提供的投标文件全部格式（表格可以按同样格式扩展）。</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13.2投标人应将投标文件按第12.1条规定的顺序编排、并应编制目录、逐页标注连续页码，并装订成册。</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14、投标报价</w:t>
      </w:r>
    </w:p>
    <w:p>
      <w:pPr>
        <w:spacing w:line="360" w:lineRule="auto"/>
        <w:ind w:firstLine="525" w:firstLineChars="25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14.1投标报价方式：投标人根据市场价报</w:t>
      </w:r>
      <w:r>
        <w:rPr>
          <w:rFonts w:hint="eastAsia" w:ascii="宋体" w:hAnsi="宋体" w:eastAsia="宋体" w:cs="宋体"/>
          <w:color w:val="auto"/>
          <w:sz w:val="24"/>
          <w:highlight w:val="none"/>
          <w:lang w:val="en-US" w:eastAsia="zh-CN"/>
        </w:rPr>
        <w:t>固定总价</w:t>
      </w:r>
      <w:r>
        <w:rPr>
          <w:rFonts w:hint="eastAsia" w:ascii="宋体" w:hAnsi="宋体" w:eastAsia="宋体" w:cs="宋体"/>
          <w:color w:val="auto"/>
          <w:sz w:val="24"/>
          <w:highlight w:val="none"/>
        </w:rPr>
        <w:t>，市场价包括人工费、管理费、利润等所有应计费用及政策性文件规定及合同包含的所有风险、责任等各项应有费用及税金（须开具增值税专用发票）。</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14.2请各投标人在投标报价时必须自行考虑各种因素，认真分析、测算，作出合理报价参加投标。涉及到招标人新增或变更的内容，以双方协商确定的价格为依据据实结算。</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14.3</w:t>
      </w:r>
      <w:r>
        <w:rPr>
          <w:rFonts w:hint="eastAsia" w:ascii="宋体" w:hAnsi="宋体" w:eastAsia="宋体" w:cs="宋体"/>
          <w:b/>
          <w:color w:val="auto"/>
          <w:sz w:val="24"/>
          <w:highlight w:val="none"/>
        </w:rPr>
        <w:t>最终结算时：投标人根据招标人提供的资料自行填报</w:t>
      </w:r>
      <w:r>
        <w:rPr>
          <w:rFonts w:hint="eastAsia" w:ascii="宋体" w:hAnsi="宋体" w:eastAsia="宋体" w:cs="宋体"/>
          <w:b/>
          <w:color w:val="auto"/>
          <w:sz w:val="24"/>
          <w:highlight w:val="none"/>
          <w:lang w:eastAsia="zh-CN"/>
        </w:rPr>
        <w:t>固定总价</w:t>
      </w:r>
      <w:r>
        <w:rPr>
          <w:rFonts w:hint="eastAsia" w:ascii="宋体" w:hAnsi="宋体" w:eastAsia="宋体" w:cs="宋体"/>
          <w:b/>
          <w:color w:val="auto"/>
          <w:sz w:val="24"/>
          <w:highlight w:val="none"/>
        </w:rPr>
        <w:t>，其价格应包含完成所需的一切费用。按可调整价格报价的投标文件将被视为不响应招标文件。</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15、投标货币</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15.1投标人提供的服务一律用人民币结算及报价。</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16、证明投标人合格和资格的文件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16.1投标人应提交证明其有资格参加投标和中标后有能力履行合同的文件，并作为其投标文件的一部分。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投标人提交的合格性证明文件应达到招标人使用要求，即</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1）投标人参加投标的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必须确保质量；</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2）投标人已具备履行合同所需的财务和技术能力。</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16.2投标人在投标时应符合本须知第5.1条的规定。</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17、证明</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的合格性和符合招标文件规定的文件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17.1投标人应提交证明文件证明其拟投标的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的合格性符合招标文件规定。该证明文件作为投标文件的一部分。</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18、投标保证金</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18.1投标人应按投标须知前附表第16项规定提交投标保证</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金。</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18.2招标人与中标人签订合同后五日内,向未中标的投标人一次性退还投标保证金及银行同期利息。</w:t>
      </w:r>
    </w:p>
    <w:p>
      <w:pPr>
        <w:spacing w:line="360" w:lineRule="auto"/>
        <w:ind w:firstLine="500"/>
        <w:rPr>
          <w:rFonts w:hint="eastAsia" w:ascii="宋体" w:hAnsi="宋体" w:eastAsia="宋体" w:cs="宋体"/>
          <w:b w:val="0"/>
          <w:bCs/>
          <w:color w:val="auto"/>
          <w:highlight w:val="none"/>
        </w:rPr>
      </w:pPr>
      <w:r>
        <w:rPr>
          <w:rFonts w:hint="eastAsia" w:ascii="宋体" w:hAnsi="宋体" w:eastAsia="宋体" w:cs="宋体"/>
          <w:color w:val="auto"/>
          <w:sz w:val="24"/>
          <w:highlight w:val="none"/>
        </w:rPr>
        <w:t>18.3</w:t>
      </w:r>
      <w:r>
        <w:rPr>
          <w:rFonts w:hint="eastAsia" w:ascii="宋体" w:hAnsi="宋体" w:eastAsia="宋体" w:cs="宋体"/>
          <w:b w:val="0"/>
          <w:bCs/>
          <w:color w:val="auto"/>
          <w:highlight w:val="none"/>
        </w:rPr>
        <w:t>保函或投标单位基本账户银行出具的电汇。</w:t>
      </w:r>
    </w:p>
    <w:p>
      <w:pPr>
        <w:pStyle w:val="8"/>
        <w:ind w:left="0" w:leftChars="0"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采用电汇方式时：</w:t>
      </w:r>
    </w:p>
    <w:p>
      <w:pPr>
        <w:pStyle w:val="8"/>
        <w:ind w:left="0" w:leftChars="0"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投标保证金收款单位：</w:t>
      </w:r>
    </w:p>
    <w:p>
      <w:pPr>
        <w:pStyle w:val="8"/>
        <w:ind w:left="0" w:leftChars="0"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开户银行：</w:t>
      </w:r>
    </w:p>
    <w:p>
      <w:pPr>
        <w:pStyle w:val="8"/>
        <w:ind w:left="0" w:leftChars="0"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账号：</w:t>
      </w:r>
    </w:p>
    <w:p>
      <w:pPr>
        <w:pStyle w:val="8"/>
        <w:ind w:left="0" w:leftChars="0"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投标保证金应在投标截止时间前，按招标文件的要求递交投标保证金，以到账为准，投标截止时间之后递交的投标保证金将被拒绝。保函的有效期应与投标有效期一致或长于投标有效期。</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19、投标有效期</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19.1投标应自本须知第25.1条规定的开标日起，并在“投标人须知前附表”中所述期限内保持有效。投标有效期不足的投标将被视为非响应性投标而被否绝。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19.2特殊情况下，在原投标有效期截止之前，招标代理机构可要求投标人同意延长投标有效期。这种要求与答复均应以书面形式提交。投标人可拒绝招标代理机构的这种要求，其投标保证金将正常退还。接受延长投标有效期的投标人将不会被要求和允许修正其投标，而只会被要求相应地延长其投标保证金的有效期。在这种情况下，本须知第18条有关投标保证金的退还和不予退还的规定将在延长了的有效期内继续有效。</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20、投标文件的份数和签署</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20.1 投标人应按本须知前附表第19项规定的份数提交投标文件。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20.2 投标文件的正本和副本均需打印（建议双面打印），字迹应清晰易于辨认，并应在投标文件封面的右上角清楚地注明“正本”或“副本”。正本和副本如有不一致之处，以正本为准。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20.3</w:t>
      </w:r>
      <w:r>
        <w:rPr>
          <w:rFonts w:hint="eastAsia" w:ascii="宋体" w:hAnsi="宋体" w:eastAsia="宋体" w:cs="宋体"/>
          <w:color w:val="auto"/>
          <w:sz w:val="24"/>
          <w:szCs w:val="24"/>
          <w:highlight w:val="none"/>
        </w:rPr>
        <w:t>投标文件封面、投标函均应加盖投标人印章并经法定代表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20.4 除投标人对错误处须修改外，全套投标文件应无涂改或行间插字和增删。如有修改，修改处应由投标人加盖投标人的印章或由投标文件签字人签字或盖章。</w:t>
      </w:r>
    </w:p>
    <w:p>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szCs w:val="28"/>
          <w:highlight w:val="none"/>
        </w:rPr>
        <w:t>.5 投标文件应按序打印页码，并在首页编印目录，投标文件的内容应按评标办法所列内容顺序编写，以便评审。</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20.6投标文件（副本）可以为（正本）的完全复印件。</w:t>
      </w:r>
    </w:p>
    <w:p>
      <w:pPr>
        <w:spacing w:line="360" w:lineRule="auto"/>
        <w:ind w:firstLine="480" w:firstLineChars="200"/>
        <w:rPr>
          <w:rFonts w:hint="eastAsia" w:ascii="宋体" w:hAnsi="宋体" w:eastAsia="宋体" w:cs="宋体"/>
          <w:color w:val="auto"/>
          <w:sz w:val="24"/>
          <w:szCs w:val="28"/>
          <w:highlight w:val="none"/>
        </w:rPr>
      </w:pPr>
    </w:p>
    <w:p>
      <w:pPr>
        <w:pStyle w:val="7"/>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（四）投标文件的提交</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21、投标文件的密封与标记</w:t>
      </w:r>
    </w:p>
    <w:p>
      <w:pPr>
        <w:spacing w:line="360" w:lineRule="auto"/>
        <w:ind w:firstLine="630"/>
        <w:rPr>
          <w:rFonts w:hint="eastAsia" w:ascii="宋体" w:hAnsi="宋体" w:eastAsia="宋体" w:cs="宋体"/>
          <w:b/>
          <w:color w:val="auto"/>
          <w:sz w:val="24"/>
          <w:szCs w:val="28"/>
          <w:highlight w:val="none"/>
        </w:rPr>
      </w:pPr>
      <w:r>
        <w:rPr>
          <w:rFonts w:hint="eastAsia" w:ascii="宋体" w:hAnsi="宋体" w:eastAsia="宋体" w:cs="宋体"/>
          <w:color w:val="auto"/>
          <w:sz w:val="24"/>
          <w:szCs w:val="28"/>
          <w:highlight w:val="none"/>
        </w:rPr>
        <w:t>21.1 投标文件正、副本，应密封为一个包封，外层包封应写明投标人名称、项目名称，并加盖公章。</w:t>
      </w:r>
      <w:r>
        <w:rPr>
          <w:rFonts w:hint="eastAsia" w:ascii="宋体" w:hAnsi="宋体" w:eastAsia="宋体" w:cs="宋体"/>
          <w:b/>
          <w:color w:val="auto"/>
          <w:sz w:val="24"/>
          <w:szCs w:val="28"/>
          <w:highlight w:val="none"/>
        </w:rPr>
        <w:t>投标文件不允许活页装订（宜用胶装），否则，招标代理机构对于由于投标文件装订松散而造成的丢失或其他后果不承担任何责任。</w:t>
      </w:r>
    </w:p>
    <w:p>
      <w:pPr>
        <w:spacing w:line="360" w:lineRule="auto"/>
        <w:ind w:firstLine="630"/>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21.2 电子文件（U盘）同书面文件密封在同一个包封内。</w:t>
      </w:r>
    </w:p>
    <w:p>
      <w:pPr>
        <w:spacing w:line="360" w:lineRule="auto"/>
        <w:ind w:firstLine="63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21.3 投标文件在投标人须知前附表第20项所述截止时间之前递交至投标须知前附表第20项所述地点。</w:t>
      </w:r>
    </w:p>
    <w:p>
      <w:pPr>
        <w:spacing w:line="360" w:lineRule="auto"/>
        <w:ind w:firstLine="628" w:firstLineChars="262"/>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21</w:t>
      </w:r>
      <w:r>
        <w:rPr>
          <w:rFonts w:hint="eastAsia" w:ascii="宋体" w:hAnsi="宋体" w:eastAsia="宋体" w:cs="宋体"/>
          <w:color w:val="auto"/>
          <w:sz w:val="24"/>
          <w:highlight w:val="none"/>
        </w:rPr>
        <w:t>.4 如果投标文件没有按本投标须知规定装订和加写标记及密封，招标人将不承担投标文件提前开封的责任。对由此造成提前开封的投标文件将予以拒绝，并退还给投标人。</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22、投标文件提交的截止时间</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color w:val="auto"/>
          <w:sz w:val="24"/>
          <w:highlight w:val="none"/>
        </w:rPr>
        <w:t>22.1 投标文件的截止时间见本项目须知前附表第20项规定。</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22.2 招标人可按本须知第10条规定以修改补充通知的方式，酌情延长提交投标文件的截止时间。在此情况下，投标人的所有权利和义务以及投标人受制约的截止时间，均以延长后新的投标截止时间为准。</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23、迟交的投标文件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23.1 招标人在本须知前附表第20项规定的投标截止时间以后收到的投标文件，将被拒绝并退回给投标人。</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24、投标文件的补充、修改与撤回</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24.1 投标人在提交投标文件以后，在规定的投标截止时间之前，可以书面形式补充修改或撤回已提交的投标文件，并以书面形式通知招标人。补充、修改的内容为投标文件的组成部分。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24.2 投标人对投标文件的补充、修改，应按本须知第21条有关规定密封、标记和提交，并在内外层投标文件密封袋上清楚标明“补充、修改”或“撤回”字样。</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24.3 在投标截止时间之后，投标人不得补充、修改投标文件。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24.4 在投标截止时间至投标有效期满之前，投标人不得撤回其投标文件。</w:t>
      </w:r>
    </w:p>
    <w:p>
      <w:pPr>
        <w:pStyle w:val="7"/>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（五）开    标</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25、开标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25.1招标代理机构在本须知前附表第21项规定的日期、时间和地点组织公开开标。开标时邀请所有投标人代表参加。参加开标的代表应签名报到以证明其出席。开标会由招标代理机构主持。</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25.2开标时，除了按照本须知第23条的规定原封退回迟到的投标之外，招标代理机构将当众宣读所有合格提交投标文件的投标人名称、以及招标人认为合适的其他内容。</w:t>
      </w:r>
    </w:p>
    <w:p>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25.3在开标时没有读出的有关声明，在评标时将不予考虑。</w:t>
      </w:r>
    </w:p>
    <w:p>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25.4招标代理机构将做开标记录，存档备查。</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25.5开标程序：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25.5.1 开标会议由招标人委托招标代理人组织。开标按随机的顺序进行。</w:t>
      </w:r>
    </w:p>
    <w:p>
      <w:pPr>
        <w:pStyle w:val="1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25.5.2 投标文件由公证人员当众检查并经投标人代表确认后启封，交由唱标人宣读投标文件的主要内容。</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25.5.3若唱标人宣读的投标文件主要内容与投标文件不符时，投标人有权在开标现场提出异议，经行政监管人员当场核查后，唱标人将重新宣读其投标文件主要内容。若投标人在开标现场未提出异议，则认为投标人已确认唱标人宣读的投标文件主要内容，投标人的法定代表人或授权委托人应在开标记录上签字确认。</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25.6 招标人在招标文件要求提交投标文件的截止时间前收到的投标文件，开标时都应当众予以拆封、宣读。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25.7 招标代理机构工作人员对开标过程进行记录，并经纪检监察人员签字确认后存档备查。</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26、投标文件的有效性</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26.1 开标时，投标文件有下列情形之一的，招标人不予受理：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26.1.1逾期送达或未送达指定地点的；</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26.1.2投标文件未按第21条要求密封和标记；</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26.2开标结束后，所有开启并唱标完毕的投标文件将送达评标委员会进行评审、比较。</w:t>
      </w:r>
    </w:p>
    <w:p>
      <w:pPr>
        <w:pStyle w:val="7"/>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（六）评   标</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27、评标委员会与评标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27.1评标委员会由招标人依法组建，负责评标活动。</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27.2开标结束后，开始评标，评标采用保密方式进行。</w:t>
      </w:r>
    </w:p>
    <w:p>
      <w:pPr>
        <w:pStyle w:val="8"/>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28、评标过程的保密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至授予中标单位合同为止，凡属于对投标文件的审查、澄清、评价和比较的有关资料以及中标单位的推荐情况，与评标有关的其他任何情况均严格保密，评标委员会成员及相关工作人员必须严格遵守保密纪律。</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28.2 在投标文件的评审和比较、中标单位入选以及授予合同的过程中，投标人向招标人和评标委员会施加影响的任何行为，都将会导致其投标被拒绝。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28.3中标单位确定后，招标人不对未入选单位就评标过程以及未能入选原因作出任何解释。未中标单位不得向评标委员会组成人员或其他有关人员索问评标过程的情况和材料。</w:t>
      </w:r>
    </w:p>
    <w:p>
      <w:pPr>
        <w:pStyle w:val="8"/>
        <w:ind w:firstLine="0"/>
        <w:rPr>
          <w:rFonts w:hint="eastAsia" w:ascii="宋体" w:hAnsi="宋体" w:eastAsia="宋体" w:cs="宋体"/>
          <w:color w:val="auto"/>
          <w:highlight w:val="none"/>
        </w:rPr>
      </w:pPr>
      <w:r>
        <w:rPr>
          <w:rFonts w:hint="eastAsia" w:ascii="宋体" w:hAnsi="宋体" w:eastAsia="宋体" w:cs="宋体"/>
          <w:color w:val="auto"/>
          <w:highlight w:val="none"/>
        </w:rPr>
        <w:t>29、投标文件的澄清</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29.1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27条规定，凡属于评标委员会在评标中发现的计算错误进行核实的修改不在此列。</w:t>
      </w:r>
    </w:p>
    <w:p>
      <w:pPr>
        <w:pStyle w:val="8"/>
        <w:ind w:firstLine="0"/>
        <w:rPr>
          <w:rFonts w:hint="eastAsia" w:ascii="宋体" w:hAnsi="宋体" w:eastAsia="宋体" w:cs="宋体"/>
          <w:color w:val="auto"/>
          <w:highlight w:val="none"/>
        </w:rPr>
      </w:pPr>
      <w:r>
        <w:rPr>
          <w:rFonts w:hint="eastAsia" w:ascii="宋体" w:hAnsi="宋体" w:eastAsia="宋体" w:cs="宋体"/>
          <w:color w:val="auto"/>
          <w:highlight w:val="none"/>
        </w:rPr>
        <w:t>30、投标文件的评审</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30.1投标文件的评审分资格审查、初步评审和详细评审三步（详见《第七章 评标办法》）。</w:t>
      </w:r>
    </w:p>
    <w:p>
      <w:pPr>
        <w:pStyle w:val="8"/>
        <w:ind w:firstLine="0"/>
        <w:rPr>
          <w:rFonts w:hint="eastAsia" w:ascii="宋体" w:hAnsi="宋体" w:eastAsia="宋体" w:cs="宋体"/>
          <w:color w:val="auto"/>
          <w:highlight w:val="none"/>
        </w:rPr>
      </w:pPr>
      <w:r>
        <w:rPr>
          <w:rFonts w:hint="eastAsia" w:ascii="宋体" w:hAnsi="宋体" w:eastAsia="宋体" w:cs="宋体"/>
          <w:color w:val="auto"/>
          <w:highlight w:val="none"/>
        </w:rPr>
        <w:t>31、投标文件的评审、比较和否决</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31.1评标委员会将按照本须知第26条规定，仅对在实质上响应招标文件要求的投标文件进行评估和比较。</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31.2 在评审过程中,评标委员会可以书面形式要求投标人就投标文件中含义不明确的内容进行书面说明并提供相关材料。</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31.3评标委员会依据本须知前附表第22项规定的评标标准和方法，对投标文件进行评审和比较，向招标人提出书面评标报告，中标单位须符合本须知第4款之规定。</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31.4 评标方法和标准</w:t>
      </w:r>
    </w:p>
    <w:p>
      <w:pPr>
        <w:spacing w:line="360" w:lineRule="auto"/>
        <w:ind w:firstLine="500"/>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详见本</w:t>
      </w:r>
      <w:r>
        <w:rPr>
          <w:rFonts w:hint="eastAsia" w:ascii="宋体" w:hAnsi="宋体" w:eastAsia="宋体" w:cs="宋体"/>
          <w:b/>
          <w:color w:val="auto"/>
          <w:sz w:val="24"/>
          <w:highlight w:val="none"/>
        </w:rPr>
        <w:t>招标文件《第七章 评标办法》</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31.5评分要求和统计分数原则</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31.5.1评标委员会评委应首先对各投标人投标书进行评审，并按招标文件规定分值评分，</w:t>
      </w:r>
      <w:r>
        <w:rPr>
          <w:rFonts w:hint="eastAsia" w:ascii="宋体" w:hAnsi="宋体" w:eastAsia="宋体" w:cs="宋体"/>
          <w:color w:val="auto"/>
          <w:spacing w:val="4"/>
          <w:sz w:val="24"/>
          <w:highlight w:val="none"/>
        </w:rPr>
        <w:t>中间用插入法确定分数</w:t>
      </w:r>
      <w:r>
        <w:rPr>
          <w:rFonts w:hint="eastAsia" w:ascii="宋体" w:hAnsi="宋体" w:eastAsia="宋体" w:cs="宋体"/>
          <w:color w:val="auto"/>
          <w:sz w:val="24"/>
          <w:szCs w:val="28"/>
          <w:highlight w:val="none"/>
        </w:rPr>
        <w:t>。</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31.5.2 技术部分、商务部分评分中，各评委应自主评分并签字确认。</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31.5.3 统计分数原则：评分后计算平均分值为投标人技术部分的得分（保留小数点后两位）。</w:t>
      </w:r>
    </w:p>
    <w:p>
      <w:pPr>
        <w:spacing w:line="360" w:lineRule="auto"/>
        <w:ind w:firstLine="525" w:firstLineChars="218"/>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31.6招标人在评标委员会推荐的中标候选人中，确定排名第一的为中标人。</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31.7中标候选人的经营、财务状况发生较大变化或者存在违法行为，招标人认为可能影响其履约能力的，应当在发出中标通知书前由原评标委员会按照招标文件规定的标准和方法审查确认。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31.8招标人不向未中标的投标人解释未中标原因。</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31.9投标人或者其他利害关系人对本项目的评标结果有异议的，应当在中标候选人公示期间提出。招标人应当自收到异议之日起3日内作出答复；作出答复前，应当暂停招标投标活动。</w:t>
      </w:r>
    </w:p>
    <w:p>
      <w:pPr>
        <w:pStyle w:val="8"/>
        <w:ind w:firstLine="0"/>
        <w:rPr>
          <w:rFonts w:hint="eastAsia" w:ascii="宋体" w:hAnsi="宋体" w:eastAsia="宋体" w:cs="宋体"/>
          <w:color w:val="auto"/>
          <w:highlight w:val="none"/>
        </w:rPr>
      </w:pPr>
      <w:r>
        <w:rPr>
          <w:rFonts w:hint="eastAsia" w:ascii="宋体" w:hAnsi="宋体" w:eastAsia="宋体" w:cs="宋体"/>
          <w:color w:val="auto"/>
          <w:highlight w:val="none"/>
        </w:rPr>
        <w:t>32、 评标结果的复核</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32.1公布评标结果后，投标人如有质疑，应以书面形式在3日内分别向招标人和招标监督部门提出复核请求，招标人将会同监督部门进行复核。</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32.2复核仅限于对数字计算、累加、平均和其它定量考核标准产生的错误，复核有误的按修正后的得分计算。评标委员会评委对投标文件中按招标文件所作的技术部分的分项打分不允许修改。</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32.3复核后如出现投标人得分顺序排列变更，则以复核修正后的得分顺序为最终排序，复核结果通知所有投标单位。</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32.4投标人的复核请求或质询均应以书面形式并加盖公章后送交，口头或其它形式的复核请求或质询，招标人均不组织进行复核。</w:t>
      </w:r>
    </w:p>
    <w:p>
      <w:pPr>
        <w:pStyle w:val="7"/>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（七）合同的授予</w:t>
      </w:r>
    </w:p>
    <w:p>
      <w:pPr>
        <w:pStyle w:val="8"/>
        <w:ind w:firstLine="0"/>
        <w:rPr>
          <w:rFonts w:hint="eastAsia" w:ascii="宋体" w:hAnsi="宋体" w:eastAsia="宋体" w:cs="宋体"/>
          <w:color w:val="auto"/>
          <w:highlight w:val="none"/>
        </w:rPr>
      </w:pPr>
      <w:r>
        <w:rPr>
          <w:rFonts w:hint="eastAsia" w:ascii="宋体" w:hAnsi="宋体" w:eastAsia="宋体" w:cs="宋体"/>
          <w:color w:val="auto"/>
          <w:highlight w:val="none"/>
        </w:rPr>
        <w:t>33、合同授予标准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33.1本招标项目的供货合同将授予按本须知第31.7款所确定的中标人，招标人与中标人签订供货合同。</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33.2非招标人原因中标人在中标通知书发出后30日内不与招标人签订供货合同的，招标人将有充分理由取消中标资格，招标人有权按照评标推荐意见选择下一名中标候选人作为中标人或者重新招标。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33.3在招标人与中标人签订下一次合同之前，由中标人按招标人的相关规定对成交人上一次合同执行情况进行评定，评定结果合格的续签下一次合同，评定结果不合格的取消中标人下一次合同执行权利。</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33.4招标人和中标人必须签定廉政责任书。</w:t>
      </w:r>
    </w:p>
    <w:p>
      <w:pPr>
        <w:pStyle w:val="8"/>
        <w:ind w:firstLine="0"/>
        <w:rPr>
          <w:rFonts w:hint="eastAsia" w:ascii="宋体" w:hAnsi="宋体" w:eastAsia="宋体" w:cs="宋体"/>
          <w:color w:val="auto"/>
          <w:highlight w:val="none"/>
        </w:rPr>
      </w:pPr>
      <w:r>
        <w:rPr>
          <w:rFonts w:hint="eastAsia" w:ascii="宋体" w:hAnsi="宋体" w:eastAsia="宋体" w:cs="宋体"/>
          <w:color w:val="auto"/>
          <w:highlight w:val="none"/>
        </w:rPr>
        <w:t>34、招标人拒绝投标的权力</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pacing w:val="6"/>
          <w:kern w:val="0"/>
          <w:sz w:val="24"/>
          <w:highlight w:val="none"/>
        </w:rPr>
        <w:t>招标人在发出中标通知书前，有权依据评标委员会的评标报告拒绝不合格的投标。</w:t>
      </w:r>
    </w:p>
    <w:p>
      <w:pPr>
        <w:pStyle w:val="8"/>
        <w:ind w:firstLine="0"/>
        <w:rPr>
          <w:rFonts w:hint="eastAsia" w:ascii="宋体" w:hAnsi="宋体" w:eastAsia="宋体" w:cs="宋体"/>
          <w:color w:val="auto"/>
          <w:highlight w:val="none"/>
        </w:rPr>
      </w:pPr>
      <w:r>
        <w:rPr>
          <w:rFonts w:hint="eastAsia" w:ascii="宋体" w:hAnsi="宋体" w:eastAsia="宋体" w:cs="宋体"/>
          <w:color w:val="auto"/>
          <w:highlight w:val="none"/>
        </w:rPr>
        <w:t>35、中标通知书</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35.1中标单位确定后招标人向中标单位发出中标通知书，并将中标结果告知所有未中标的投标人。</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35.2中标通知书是合同的一个组成部分。</w:t>
      </w:r>
    </w:p>
    <w:p>
      <w:pPr>
        <w:pStyle w:val="8"/>
        <w:ind w:firstLine="0"/>
        <w:rPr>
          <w:rFonts w:hint="eastAsia" w:ascii="宋体" w:hAnsi="宋体" w:eastAsia="宋体" w:cs="宋体"/>
          <w:color w:val="auto"/>
          <w:highlight w:val="none"/>
        </w:rPr>
      </w:pPr>
      <w:r>
        <w:rPr>
          <w:rFonts w:hint="eastAsia" w:ascii="宋体" w:hAnsi="宋体" w:eastAsia="宋体" w:cs="宋体"/>
          <w:color w:val="auto"/>
          <w:highlight w:val="none"/>
        </w:rPr>
        <w:t>36、合同协议书的签订</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36.1 合同签订前，招标人有权对中标人投标文件中提供材料的真实性进行核查，若被查实存在影响中标结果的违法行为等情形，不符合中标条件的，取消其中标资格，且已交纳的投标保证金不予退还，招标人可以按照评标委员会推荐的中标候选人名单排序依次确定其他中标候选人为中标人，或重新组织招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36.2招标人与中标人将于中标通知书发出之日起30日内，按照招标文件和中标人的投标文件订立书面供货合同，招标人和中标人不得再行订立背离合同实质性内容的其他协议。</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36.3招标人如不按本投标须知第36.1款的规定与中标人订立合同，或者招标人、中标人订立背离合同实质性内容的协议，应改正并按规定处予罚款。</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36.4在确定中标人之前，招标人应遵守《中华人民共和国招标投标法》和其它有关规定，不得无故调整招标文件规定的有关条款，不得与投标人就投标价格、投标承诺、投标方案等实质性内容进行谈判。</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36.5招标人、中标人双方在签定供货合同时，不得随意变更招标文件和投标书的实质性条款。</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投标人的投标报价应本着科学、合理的原则进行。投标人一旦中标，若因报价过低致使合同无法签订和履行的，或在合同签订、履行中无故要求变更投标承诺和变更投标报价（含单价、合价和总价）的，按下列规定执行：</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36.6.1不与招标人签订供货合同的，或在合同签订时要求变更投标承诺和变更投标报价（含单价、合价和总价）的，招标人可取消其中标资格，其投标保证金不予退还；给招标人造成的损失超过投标保证金数额的，中标人应对超过部分予以赔偿；没有提交投标保证金的，应当对招标人的实际损失承担赔偿责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36.6.2不全面履行合同的，应承担由此造成招标人的实际损失。此外，招标人可将有关情况报行政主管部门，由行政主管部门依据有关法律、法规给予相应处罚，并作不良市场行为记录；</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36.6.3在合同履行中，中标人无故要求变更投标承诺和变更投标报价（含单价、合价和总价）的，招标人不得给予调整，可视情况终止合同，由此造成招标人的实际损失由中标人承担赔偿责任。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36.7中标人应当按照合同约定履行义务，完成中标项目供货，不得将中标项目转让（转包）给他人。</w:t>
      </w:r>
    </w:p>
    <w:p>
      <w:pPr>
        <w:pStyle w:val="8"/>
        <w:ind w:firstLine="0"/>
        <w:rPr>
          <w:rFonts w:hint="eastAsia" w:ascii="宋体" w:hAnsi="宋体" w:eastAsia="宋体" w:cs="宋体"/>
          <w:color w:val="auto"/>
          <w:highlight w:val="none"/>
        </w:rPr>
      </w:pPr>
      <w:r>
        <w:rPr>
          <w:rFonts w:hint="eastAsia" w:ascii="宋体" w:hAnsi="宋体" w:eastAsia="宋体" w:cs="宋体"/>
          <w:color w:val="auto"/>
          <w:highlight w:val="none"/>
        </w:rPr>
        <w:t>37、履约担保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无。</w:t>
      </w:r>
    </w:p>
    <w:p>
      <w:pPr>
        <w:pStyle w:val="8"/>
        <w:ind w:firstLine="0"/>
        <w:rPr>
          <w:rFonts w:hint="eastAsia" w:ascii="宋体" w:hAnsi="宋体" w:eastAsia="宋体" w:cs="宋体"/>
          <w:color w:val="auto"/>
          <w:highlight w:val="none"/>
        </w:rPr>
      </w:pPr>
      <w:r>
        <w:rPr>
          <w:rFonts w:hint="eastAsia" w:ascii="宋体" w:hAnsi="宋体" w:eastAsia="宋体" w:cs="宋体"/>
          <w:color w:val="auto"/>
          <w:highlight w:val="none"/>
        </w:rPr>
        <w:t>38、知识产权</w:t>
      </w:r>
    </w:p>
    <w:p>
      <w:pPr>
        <w:pStyle w:val="8"/>
        <w:ind w:left="8" w:firstLine="412"/>
        <w:rPr>
          <w:rFonts w:hint="eastAsia" w:ascii="宋体" w:hAnsi="宋体" w:eastAsia="宋体" w:cs="宋体"/>
          <w:b w:val="0"/>
          <w:color w:val="auto"/>
          <w:kern w:val="2"/>
          <w:highlight w:val="none"/>
        </w:rPr>
      </w:pPr>
      <w:bookmarkStart w:id="22" w:name="_Toc407575715"/>
      <w:bookmarkStart w:id="23" w:name="_Toc405841715"/>
      <w:bookmarkStart w:id="24" w:name="_Toc398284558"/>
      <w:bookmarkStart w:id="25" w:name="_Toc415068443"/>
      <w:bookmarkStart w:id="26" w:name="_Toc459193929"/>
      <w:bookmarkStart w:id="27" w:name="_Toc462750232"/>
      <w:bookmarkStart w:id="28" w:name="_Toc452968012"/>
      <w:bookmarkStart w:id="29" w:name="_Toc459115259"/>
      <w:bookmarkStart w:id="30" w:name="_Toc465195490"/>
      <w:bookmarkStart w:id="31" w:name="_Toc406050251"/>
      <w:bookmarkStart w:id="32" w:name="_Toc462772982"/>
      <w:bookmarkStart w:id="33" w:name="_Toc452732935"/>
      <w:bookmarkStart w:id="34" w:name="_Toc415066900"/>
      <w:bookmarkStart w:id="35" w:name="_Toc462956953"/>
      <w:bookmarkStart w:id="36" w:name="_Toc407017581"/>
      <w:bookmarkStart w:id="37" w:name="_Toc414893184"/>
      <w:bookmarkStart w:id="38" w:name="_Toc450901008"/>
      <w:bookmarkStart w:id="39" w:name="_Toc465340531"/>
      <w:bookmarkStart w:id="40" w:name="_Toc408414923"/>
      <w:r>
        <w:rPr>
          <w:rFonts w:hint="eastAsia" w:ascii="宋体" w:hAnsi="宋体" w:eastAsia="宋体" w:cs="宋体"/>
          <w:b w:val="0"/>
          <w:color w:val="auto"/>
          <w:kern w:val="2"/>
          <w:highlight w:val="none"/>
        </w:rPr>
        <w:t>中标人应保证招标人在使用该</w:t>
      </w:r>
      <w:r>
        <w:rPr>
          <w:rFonts w:hint="eastAsia" w:ascii="宋体" w:hAnsi="宋体" w:eastAsia="宋体" w:cs="宋体"/>
          <w:b w:val="0"/>
          <w:color w:val="auto"/>
          <w:kern w:val="2"/>
          <w:highlight w:val="none"/>
          <w:lang w:val="en-US" w:eastAsia="zh-CN"/>
        </w:rPr>
        <w:t>服务</w:t>
      </w:r>
      <w:r>
        <w:rPr>
          <w:rFonts w:hint="eastAsia" w:ascii="宋体" w:hAnsi="宋体" w:eastAsia="宋体" w:cs="宋体"/>
          <w:b w:val="0"/>
          <w:color w:val="auto"/>
          <w:kern w:val="2"/>
          <w:highlight w:val="none"/>
        </w:rPr>
        <w:t>或其任何一部分时不受第三方提出的侵犯专利权、商标权、著作权或其它知识产权的起诉。如果任何第三方提出侵权指控，中标人须与第三方交涉并承担可能发生的一切法律责任和费用。</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spacing w:line="360" w:lineRule="auto"/>
        <w:ind w:firstLine="5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8"/>
          <w:szCs w:val="28"/>
          <w:highlight w:val="none"/>
        </w:rPr>
        <w:sectPr>
          <w:headerReference r:id="rId8"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pStyle w:val="4"/>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41" w:name="_Toc349568453"/>
      <w:bookmarkStart w:id="42" w:name="_Toc344394140"/>
      <w:bookmarkStart w:id="43" w:name="_Toc349568712"/>
      <w:bookmarkStart w:id="44" w:name="_Toc343510554"/>
      <w:bookmarkStart w:id="45" w:name="_Toc350515649"/>
      <w:bookmarkStart w:id="46" w:name="_Toc17991"/>
      <w:bookmarkStart w:id="47" w:name="_Toc18244"/>
      <w:r>
        <w:rPr>
          <w:rFonts w:hint="eastAsia" w:ascii="宋体" w:hAnsi="宋体" w:eastAsia="宋体" w:cs="宋体"/>
          <w:color w:val="auto"/>
          <w:w w:val="90"/>
          <w:highlight w:val="none"/>
        </w:rPr>
        <w:t>合同</w:t>
      </w:r>
      <w:bookmarkEnd w:id="41"/>
      <w:bookmarkEnd w:id="42"/>
      <w:bookmarkEnd w:id="43"/>
      <w:bookmarkEnd w:id="44"/>
      <w:r>
        <w:rPr>
          <w:rFonts w:hint="eastAsia" w:ascii="宋体" w:hAnsi="宋体" w:eastAsia="宋体" w:cs="宋体"/>
          <w:color w:val="auto"/>
          <w:w w:val="90"/>
          <w:highlight w:val="none"/>
        </w:rPr>
        <w:t>主要条款</w:t>
      </w:r>
      <w:bookmarkEnd w:id="45"/>
      <w:bookmarkEnd w:id="46"/>
      <w:bookmarkEnd w:id="47"/>
    </w:p>
    <w:p>
      <w:pPr>
        <w:pStyle w:val="4"/>
        <w:spacing w:line="360" w:lineRule="auto"/>
        <w:jc w:val="center"/>
        <w:rPr>
          <w:rFonts w:hint="eastAsia" w:ascii="宋体" w:hAnsi="宋体" w:eastAsia="宋体" w:cs="宋体"/>
          <w:color w:val="auto"/>
          <w:w w:val="90"/>
          <w:sz w:val="28"/>
          <w:szCs w:val="28"/>
          <w:highlight w:val="none"/>
        </w:rPr>
      </w:pPr>
      <w:bookmarkStart w:id="48" w:name="_Toc21059"/>
      <w:bookmarkStart w:id="49" w:name="_Toc15241"/>
      <w:bookmarkStart w:id="50" w:name="_Toc14564"/>
      <w:bookmarkStart w:id="51" w:name="_Toc12000"/>
      <w:bookmarkStart w:id="52" w:name="_Toc12876"/>
      <w:r>
        <w:rPr>
          <w:rFonts w:hint="eastAsia" w:ascii="宋体" w:hAnsi="宋体" w:eastAsia="宋体" w:cs="宋体"/>
          <w:color w:val="auto"/>
          <w:w w:val="90"/>
          <w:sz w:val="28"/>
          <w:szCs w:val="28"/>
          <w:highlight w:val="none"/>
        </w:rPr>
        <w:t>（以实际签订为准）</w:t>
      </w:r>
      <w:bookmarkEnd w:id="48"/>
      <w:bookmarkEnd w:id="49"/>
      <w:bookmarkEnd w:id="50"/>
      <w:bookmarkEnd w:id="51"/>
      <w:bookmarkEnd w:id="52"/>
    </w:p>
    <w:p>
      <w:pPr>
        <w:spacing w:line="360" w:lineRule="auto"/>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u w:val="singl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合同编号：</w:t>
      </w:r>
    </w:p>
    <w:p>
      <w:pPr>
        <w:spacing w:line="160" w:lineRule="atLeast"/>
        <w:rPr>
          <w:rFonts w:hint="eastAsia" w:ascii="宋体" w:hAnsi="宋体" w:eastAsia="宋体" w:cs="宋体"/>
          <w:b/>
          <w:color w:val="auto"/>
          <w:sz w:val="72"/>
          <w:szCs w:val="72"/>
          <w:highlight w:val="none"/>
        </w:rPr>
      </w:pPr>
    </w:p>
    <w:p>
      <w:pPr>
        <w:spacing w:line="160" w:lineRule="atLeast"/>
        <w:jc w:val="center"/>
        <w:rPr>
          <w:rFonts w:hint="eastAsia" w:ascii="宋体" w:hAnsi="宋体" w:eastAsia="宋体" w:cs="宋体"/>
          <w:b/>
          <w:color w:val="auto"/>
          <w:sz w:val="52"/>
          <w:szCs w:val="52"/>
          <w:highlight w:val="none"/>
        </w:rPr>
      </w:pPr>
    </w:p>
    <w:p>
      <w:pPr>
        <w:spacing w:line="160" w:lineRule="atLeast"/>
        <w:jc w:val="center"/>
        <w:rPr>
          <w:rFonts w:hint="eastAsia" w:ascii="宋体" w:hAnsi="宋体" w:eastAsia="宋体" w:cs="宋体"/>
          <w:b/>
          <w:color w:val="auto"/>
          <w:sz w:val="52"/>
          <w:szCs w:val="52"/>
          <w:highlight w:val="none"/>
        </w:rPr>
      </w:pPr>
    </w:p>
    <w:p>
      <w:pPr>
        <w:spacing w:line="160" w:lineRule="atLeast"/>
        <w:jc w:val="center"/>
        <w:rPr>
          <w:rFonts w:hint="eastAsia" w:ascii="宋体" w:hAnsi="宋体" w:eastAsia="宋体" w:cs="宋体"/>
          <w:b/>
          <w:color w:val="auto"/>
          <w:sz w:val="110"/>
          <w:szCs w:val="110"/>
          <w:highlight w:val="none"/>
        </w:rPr>
      </w:pPr>
      <w:r>
        <w:rPr>
          <w:rFonts w:hint="eastAsia" w:ascii="宋体" w:hAnsi="宋体" w:eastAsia="宋体" w:cs="宋体"/>
          <w:b/>
          <w:color w:val="auto"/>
          <w:sz w:val="110"/>
          <w:szCs w:val="110"/>
          <w:highlight w:val="none"/>
        </w:rPr>
        <w:t>合  同  书</w:t>
      </w: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ind w:firstLine="1044" w:firstLineChars="495"/>
        <w:rPr>
          <w:rFonts w:hint="eastAsia" w:ascii="宋体" w:hAnsi="宋体" w:eastAsia="宋体" w:cs="宋体"/>
          <w:b/>
          <w:color w:val="auto"/>
          <w:highlight w:val="none"/>
        </w:rPr>
      </w:pPr>
    </w:p>
    <w:p>
      <w:pPr>
        <w:spacing w:line="160" w:lineRule="atLeast"/>
        <w:rPr>
          <w:rFonts w:hint="eastAsia" w:ascii="宋体" w:hAnsi="宋体" w:eastAsia="宋体" w:cs="宋体"/>
          <w:b/>
          <w:color w:val="auto"/>
          <w:highlight w:val="none"/>
        </w:rPr>
      </w:pPr>
    </w:p>
    <w:p>
      <w:pPr>
        <w:tabs>
          <w:tab w:val="left" w:pos="1260"/>
          <w:tab w:val="left" w:pos="1620"/>
          <w:tab w:val="left" w:pos="6840"/>
          <w:tab w:val="left" w:pos="7020"/>
          <w:tab w:val="left" w:pos="7200"/>
        </w:tabs>
        <w:spacing w:line="160" w:lineRule="atLeast"/>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甲方： </w:t>
      </w:r>
    </w:p>
    <w:p>
      <w:pPr>
        <w:tabs>
          <w:tab w:val="left" w:pos="1260"/>
          <w:tab w:val="left" w:pos="1620"/>
          <w:tab w:val="left" w:pos="6840"/>
          <w:tab w:val="left" w:pos="7020"/>
          <w:tab w:val="left" w:pos="7200"/>
        </w:tabs>
        <w:spacing w:line="160" w:lineRule="atLeast"/>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乙方： </w:t>
      </w:r>
    </w:p>
    <w:p>
      <w:pPr>
        <w:spacing w:line="560" w:lineRule="exact"/>
        <w:ind w:right="640"/>
        <w:jc w:val="center"/>
        <w:rPr>
          <w:rFonts w:hint="eastAsia" w:ascii="宋体" w:hAnsi="宋体" w:eastAsia="宋体" w:cs="宋体"/>
          <w:b/>
          <w:color w:val="auto"/>
          <w:sz w:val="36"/>
          <w:szCs w:val="36"/>
          <w:highlight w:val="none"/>
        </w:rPr>
      </w:pPr>
    </w:p>
    <w:p>
      <w:pPr>
        <w:spacing w:line="560" w:lineRule="exact"/>
        <w:ind w:right="640"/>
        <w:jc w:val="center"/>
        <w:rPr>
          <w:rFonts w:hint="eastAsia" w:ascii="宋体" w:hAnsi="宋体" w:eastAsia="宋体" w:cs="宋体"/>
          <w:b/>
          <w:color w:val="auto"/>
          <w:sz w:val="36"/>
          <w:szCs w:val="36"/>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br w:type="page"/>
      </w:r>
      <w:r>
        <w:rPr>
          <w:rFonts w:hint="eastAsia" w:ascii="宋体" w:hAnsi="宋体" w:eastAsia="宋体" w:cs="宋体"/>
          <w:color w:val="auto"/>
          <w:sz w:val="24"/>
          <w:highlight w:val="none"/>
        </w:rPr>
        <w:t>甲乙双方根据《中华人民共和国民法典》和有关法律法规，遵循平等、自愿、公平和诚实信用原则，同意按照下面的条款和条件订立本合同，共同信守。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b/>
          <w:color w:val="auto"/>
          <w:sz w:val="24"/>
          <w:highlight w:val="none"/>
        </w:rPr>
        <w:t>合同标的</w:t>
      </w:r>
    </w:p>
    <w:p>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highlight w:val="none"/>
        </w:rPr>
        <w:t>甲方委托乙方按照本合同约定，为甲方提供</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服务。</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二.合同金额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合同的总金额为人民币（大写）：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元，小写: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三.付款条件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递交材料审核通过后一次性支付全部价款</w:t>
      </w:r>
      <w:r>
        <w:rPr>
          <w:rFonts w:hint="eastAsia" w:ascii="宋体" w:hAnsi="宋体" w:eastAsia="宋体" w:cs="宋体"/>
          <w:color w:val="auto"/>
          <w:highlight w:val="none"/>
        </w:rPr>
        <w:t>。</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w:t>
      </w:r>
      <w:r>
        <w:rPr>
          <w:rFonts w:hint="eastAsia" w:ascii="宋体" w:hAnsi="宋体" w:eastAsia="宋体" w:cs="宋体"/>
          <w:b/>
          <w:color w:val="auto"/>
          <w:sz w:val="24"/>
          <w:highlight w:val="none"/>
          <w:lang w:val="en-US" w:eastAsia="zh-CN"/>
        </w:rPr>
        <w:t>服务期限</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服务期限：</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，共计</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日历天。</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五.双方权利和义务</w:t>
      </w:r>
    </w:p>
    <w:p>
      <w:pPr>
        <w:pStyle w:val="22"/>
        <w:shd w:val="clear" w:color="auto" w:fill="FFFFFF"/>
        <w:spacing w:before="0" w:beforeAutospacing="0" w:after="0" w:afterAutospacing="0" w:line="450" w:lineRule="atLeast"/>
        <w:ind w:right="300" w:firstLine="480" w:firstLineChars="2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(一)甲方的权利和义务</w:t>
      </w:r>
    </w:p>
    <w:p>
      <w:pPr>
        <w:pStyle w:val="22"/>
        <w:shd w:val="clear" w:color="auto" w:fill="FFFFFF"/>
        <w:spacing w:before="0" w:beforeAutospacing="0" w:after="0" w:afterAutospacing="0" w:line="450" w:lineRule="atLeast"/>
        <w:ind w:right="300" w:firstLine="480" w:firstLineChars="2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1.甲方有权向乙方询问工作进展情况及相关的内容，有权阐述对具体问题的</w:t>
      </w:r>
      <w:r>
        <w:rPr>
          <w:rFonts w:hint="eastAsia" w:ascii="宋体" w:hAnsi="宋体" w:eastAsia="宋体" w:cs="宋体"/>
          <w:color w:val="auto"/>
          <w:kern w:val="2"/>
          <w:szCs w:val="32"/>
          <w:highlight w:val="none"/>
        </w:rPr>
        <w:fldChar w:fldCharType="begin"/>
      </w:r>
      <w:r>
        <w:rPr>
          <w:rFonts w:hint="eastAsia" w:ascii="宋体" w:hAnsi="宋体" w:eastAsia="宋体" w:cs="宋体"/>
          <w:color w:val="auto"/>
          <w:kern w:val="2"/>
          <w:szCs w:val="32"/>
          <w:highlight w:val="none"/>
        </w:rPr>
        <w:instrText xml:space="preserve">HYPERLINK "http://www.xuexila.com/fanwen/yijian/" \t "_blank"</w:instrText>
      </w:r>
      <w:r>
        <w:rPr>
          <w:rFonts w:hint="eastAsia" w:ascii="宋体" w:hAnsi="宋体" w:eastAsia="宋体" w:cs="宋体"/>
          <w:color w:val="auto"/>
          <w:kern w:val="2"/>
          <w:szCs w:val="32"/>
          <w:highlight w:val="none"/>
        </w:rPr>
        <w:fldChar w:fldCharType="separate"/>
      </w:r>
      <w:r>
        <w:rPr>
          <w:rFonts w:hint="eastAsia" w:ascii="宋体" w:hAnsi="宋体" w:eastAsia="宋体" w:cs="宋体"/>
          <w:color w:val="auto"/>
          <w:kern w:val="2"/>
          <w:szCs w:val="32"/>
          <w:highlight w:val="none"/>
        </w:rPr>
        <w:t>意见</w:t>
      </w:r>
      <w:r>
        <w:rPr>
          <w:rFonts w:hint="eastAsia" w:ascii="宋体" w:hAnsi="宋体" w:eastAsia="宋体" w:cs="宋体"/>
          <w:color w:val="auto"/>
          <w:kern w:val="2"/>
          <w:szCs w:val="32"/>
          <w:highlight w:val="none"/>
        </w:rPr>
        <w:fldChar w:fldCharType="end"/>
      </w:r>
      <w:r>
        <w:rPr>
          <w:rFonts w:hint="eastAsia" w:ascii="宋体" w:hAnsi="宋体" w:eastAsia="宋体" w:cs="宋体"/>
          <w:color w:val="auto"/>
          <w:kern w:val="2"/>
          <w:szCs w:val="32"/>
          <w:highlight w:val="none"/>
        </w:rPr>
        <w:t>和建议。</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2.若乙方专业人员不按服务合同履行其职责，有权要求更换乙方专业人员，直至终止合同。</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3.配合乙方工作，向乙方提供相关资料，并保证所提供资料真实、准确、完整、有效。</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4.甲方应配合乙方现场访谈、勘察等事宜，并提供相关工作便利。</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5.甲方应承担保密义务，未经乙方许可，甲方不得向第三方提供(包括但不限于披露、转载等)乙方提交给甲方的任何材料、文件、和乙方网站所提供的资料，及其上述材料、文件、资料所包含的任何信息。</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6.依据本合同规定，向乙方支付服务费用 。</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(二)乙方的权利和义务</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1.根据甲方服务需要，乙方有权了解相关情况。</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2.乙方在提供服务过程中有权要求甲方提供所需的资料。</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3.乙方在提供服务过程中有到现场访谈、勘察的权利。</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4.乙方在提供服务过程中有权对第三人提出的与本服务相关的问题进行核对和查问。</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5.乙方在我国现行法律、政策允许的范围内，遵循诚实、勤勉、尽职的原则，按合同约定为甲方提供服务。</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6.服务形式根据甲方需要而定，乙方可以为甲方提供书面的服务方案、建议、报告、信息服务等，也可以为甲方提供现场服务等形式的服务。</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7.乙方应承担保密义务，未经甲方许可，乙方不得向第三方提供(披露)甲方提交乙方使用的、乙方通过其他渠道无法获得且尚未进入公共信息领域的材料与文件。</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8.依据本合同约定，向甲方收取服务费用。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 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如果乙方未按照合同规定的要求提供服务或乙方在收到甲方对服务存在问题的通知后10日内或在乙方在签署整改意见书后10日内，没有整改或整改仍不符合甲方要求，甲方有权向乙方发出违约通知书，乙方应按照甲方选择的下列一种或多种方式承担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1.在服务期限内因乙方管理或其它自身问题造成的服务期限内影响甲方正常工作，乙方承担由此给甲方造成的一切损失。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2.在甲方规定的服务期限内，按照合同约定的范围、内容、要求，乙方应承担由此发生的一切费用和风险。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3.根据甲方所遭受的损失，经双方商定降低标的的价格或赔偿甲方所遭受的损失。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4.因乙方原因不能提供约定服务的，甲方有权要求乙方在一定期限内解决，逾期未解决的且严重违约的，甲方有权提前解除合同。造成甲方经济损失的，乙方应给予经济赔偿。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5.乙方在服务期限内，由于管理、人为等因素造成的损失，经甲方认定后对乙方追究其责任，造成经济损失的，乙方应承担全部由此发生的一切费用及后果。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6.甲方有权部分或全部解除合同并要求乙方赔偿由此造成的损失。此时甲方可采取必要的补救措施，相关费用由乙方承担。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如果乙方在收到甲方的违约通知书后10日内未作答复也没有按照甲方选择的方式承担违约责任，则甲方有权从尚未支付的合同价款中扣回索赔金额。如果这些金额不足以补偿，甲方有权向乙方提出不足部分的赔偿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（三）服务延误的违约责任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未按合同规定的服务期限向甲方提供服务时，则每逾期一日，乙方应按逾期交付标的价款总值的2%计算，向甲方支付逾期提供服务的违约金，但不超过合同总金额的10%。乙方支付逾期提供服务的违约金并不免除乙方违约的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2.如乙方在合同规定的服务期限后10天内仍未能提供服务，则视为乙方不能提供服务，甲方有权解除合同，乙方除退还已收取的服务费用，还应向甲方偿付全部服务款10%的违约金。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（四）以上各项交付的违约金并不影响违约方履行合同的其他义务。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（五）因本合同产生的争议，双方应协商解决，如协商不成，应提交甲方所在地有管辖权的人民法院诉讼解决。</w:t>
      </w:r>
    </w:p>
    <w:p>
      <w:pPr>
        <w:widowControl/>
        <w:shd w:val="clear" w:color="auto" w:fill="FFFFFF"/>
        <w:tabs>
          <w:tab w:val="left" w:pos="420"/>
        </w:tabs>
        <w:spacing w:line="360" w:lineRule="auto"/>
        <w:ind w:firstLine="482" w:firstLineChars="200"/>
        <w:jc w:val="left"/>
        <w:outlineLvl w:val="0"/>
        <w:rPr>
          <w:rFonts w:hint="eastAsia" w:ascii="宋体" w:hAnsi="宋体" w:eastAsia="宋体" w:cs="宋体"/>
          <w:b/>
          <w:color w:val="auto"/>
          <w:sz w:val="24"/>
          <w:highlight w:val="none"/>
        </w:rPr>
      </w:pPr>
      <w:bookmarkStart w:id="53" w:name="_Toc6287"/>
      <w:bookmarkStart w:id="54" w:name="_Toc266"/>
      <w:bookmarkStart w:id="55" w:name="_Toc6357"/>
      <w:bookmarkStart w:id="56" w:name="_Toc20175"/>
      <w:bookmarkStart w:id="57" w:name="_Toc10083"/>
      <w:r>
        <w:rPr>
          <w:rFonts w:hint="eastAsia" w:ascii="宋体" w:hAnsi="宋体" w:eastAsia="宋体" w:cs="宋体"/>
          <w:b/>
          <w:color w:val="auto"/>
          <w:sz w:val="24"/>
          <w:highlight w:val="none"/>
        </w:rPr>
        <w:t>七、合同生效</w:t>
      </w:r>
      <w:bookmarkEnd w:id="53"/>
      <w:bookmarkEnd w:id="54"/>
      <w:bookmarkEnd w:id="55"/>
      <w:bookmarkEnd w:id="56"/>
      <w:bookmarkEnd w:id="5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本合同经双方法人代表或授权代表签字盖章后生效。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本合同一式四份，甲乙双方各</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份。</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                           乙方(公章):</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                      法定代表人(签字)：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                       委托代理人(签字):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                              联系电话：</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                     开户行：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账号：</w:t>
      </w:r>
    </w:p>
    <w:p>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日期：   年  月  日</w:t>
      </w:r>
    </w:p>
    <w:p>
      <w:pPr>
        <w:pStyle w:val="5"/>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right="-1233" w:rightChars="-587"/>
        <w:rPr>
          <w:rFonts w:hint="eastAsia" w:ascii="宋体" w:hAnsi="宋体" w:eastAsia="宋体" w:cs="宋体"/>
          <w:color w:val="auto"/>
          <w:sz w:val="20"/>
          <w:highlight w:val="none"/>
        </w:rPr>
        <w:sectPr>
          <w:headerReference r:id="rId10" w:type="first"/>
          <w:headerReference r:id="rId9" w:type="default"/>
          <w:footerReference r:id="rId11" w:type="default"/>
          <w:pgSz w:w="11906" w:h="16838"/>
          <w:pgMar w:top="1134" w:right="1091" w:bottom="1134" w:left="1418" w:header="454" w:footer="454" w:gutter="0"/>
          <w:cols w:space="720" w:num="1"/>
          <w:titlePg/>
          <w:docGrid w:linePitch="312" w:charSpace="0"/>
        </w:sectPr>
      </w:pPr>
      <w:r>
        <w:rPr>
          <w:rFonts w:hint="eastAsia" w:ascii="宋体" w:hAnsi="宋体" w:eastAsia="宋体" w:cs="宋体"/>
          <w:color w:val="auto"/>
          <w:highlight w:val="none"/>
        </w:rPr>
        <w:br w:type="page"/>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4"/>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ab/>
      </w:r>
      <w:bookmarkStart w:id="58" w:name="_Toc1908"/>
      <w:bookmarkStart w:id="59" w:name="_Toc350515653"/>
      <w:r>
        <w:rPr>
          <w:rFonts w:hint="eastAsia" w:ascii="宋体" w:hAnsi="宋体" w:eastAsia="宋体" w:cs="宋体"/>
          <w:color w:val="auto"/>
          <w:w w:val="90"/>
          <w:highlight w:val="none"/>
        </w:rPr>
        <w:t xml:space="preserve"> </w:t>
      </w:r>
      <w:bookmarkEnd w:id="58"/>
      <w:bookmarkEnd w:id="59"/>
      <w:bookmarkStart w:id="60" w:name="_Toc30794"/>
      <w:r>
        <w:rPr>
          <w:rFonts w:hint="eastAsia" w:ascii="宋体" w:hAnsi="宋体" w:eastAsia="宋体" w:cs="宋体"/>
          <w:color w:val="auto"/>
          <w:w w:val="90"/>
          <w:highlight w:val="none"/>
          <w:lang w:val="en-US" w:eastAsia="zh-CN"/>
        </w:rPr>
        <w:t>项目情况及服务需求</w:t>
      </w:r>
      <w:bookmarkEnd w:id="60"/>
    </w:p>
    <w:p>
      <w:pPr>
        <w:widowControl/>
        <w:shd w:val="clear" w:color="auto" w:fill="FFFFFF"/>
        <w:tabs>
          <w:tab w:val="left" w:pos="420"/>
        </w:tabs>
        <w:spacing w:line="360" w:lineRule="auto"/>
        <w:ind w:firstLine="422" w:firstLineChars="200"/>
        <w:jc w:val="left"/>
        <w:outlineLvl w:val="0"/>
        <w:rPr>
          <w:rFonts w:hint="eastAsia" w:ascii="宋体" w:hAnsi="宋体" w:cs="宋体"/>
          <w:b/>
          <w:color w:val="auto"/>
          <w:sz w:val="32"/>
          <w:szCs w:val="32"/>
          <w:highlight w:val="none"/>
          <w:lang w:val="en-US" w:eastAsia="zh-CN"/>
        </w:rPr>
      </w:pPr>
      <w:r>
        <w:rPr>
          <w:rFonts w:hint="eastAsia" w:ascii="宋体" w:hAnsi="宋体" w:eastAsia="宋体" w:cs="宋体"/>
          <w:b/>
          <w:color w:val="auto"/>
          <w:kern w:val="0"/>
          <w:highlight w:val="none"/>
        </w:rPr>
        <w:br w:type="page"/>
      </w:r>
      <w:bookmarkStart w:id="61" w:name="_Toc15587"/>
      <w:bookmarkStart w:id="62" w:name="_Toc12653"/>
      <w:bookmarkStart w:id="63" w:name="_Toc17621"/>
      <w:r>
        <w:rPr>
          <w:rFonts w:hint="eastAsia" w:ascii="宋体" w:hAnsi="宋体" w:cs="宋体"/>
          <w:b/>
          <w:color w:val="auto"/>
          <w:sz w:val="32"/>
          <w:szCs w:val="32"/>
          <w:highlight w:val="none"/>
          <w:lang w:val="en-US" w:eastAsia="zh-CN"/>
        </w:rPr>
        <w:t>一、区域概况</w:t>
      </w:r>
      <w:bookmarkEnd w:id="61"/>
      <w:bookmarkEnd w:id="62"/>
      <w:bookmarkEnd w:id="63"/>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辽宁省营口市地处辽东半岛中枢，辽东湾东岸，地理区位突出，是辽宁沿海经济带和沈大经济走廊的重要支点城市；是东北重要的出海口岸，国际海铁联运大通道的重要枢纽和国际物流中心，2020年货物吞吐量排名全国港口第九位，海铁联运全国排名第二位，是全国港口粮食最大集散港。生态区位重要，大辽河口湿地等是东亚-澳大利西亚候鸟迁飞路线的重要驿站，斑海豹前往辽东湾我国唯一产仔地的必经生态廊道，辽东湾重要渔业资源的三场一通道，拥有辽东湾约四分之一的稀缺砂质岸线资源，在维持渤海，尤其是辽东湾生态平衡、保护生物多样性、供给优质生态产品方面具有重要作用，是渤海重要生态屏障。 </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近年来营口市人民政府高度重视生态文明建设，积极开展海洋生态保护修复相关工作，但仍然面临着系列问题，仍是辽东湾海岸带生态屏障的薄弱环节：一是滨海湿地生境破碎化严重，生态系统服务功能有待提升；二是浒苔爆发呈增长趋势，严重威胁海洋生态安全；三是陆海生态廊道受阻，渔业生物资源和鸟类栖息地质量有待提高；四是沙滩侵蚀严重，威胁国家级自然保护地保护对象砂质海岸生态系统安全；五是海洋灾害风险频发，海岸带防灾减灾能力有待提升。因此，营口海域生态保护修复工作迫在眉睫。 </w:t>
      </w:r>
    </w:p>
    <w:p>
      <w:pPr>
        <w:spacing w:line="360" w:lineRule="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营口市坚持整体保护、系统修复，坚持问题导向、突出重点，在营口市160多公里的岸线上分布着几个重要生态岸段，分别是大辽河口湿地、大清河口湿地、团山国家级自然保护地、月亮湾、白沙湾-浮渡河等，其中大清河口湿地、白沙湾-浮渡河岸段生态状况较好，大辽河口湿地、团山保护地、月亮湾生态问题突出，上述生态问题主要集中在这3个岸段区域，因此，营口市选择这3个岸段</w:t>
      </w:r>
      <w:r>
        <w:rPr>
          <w:rFonts w:hint="eastAsia" w:ascii="宋体" w:hAnsi="宋体" w:cs="宋体"/>
          <w:color w:val="auto"/>
          <w:sz w:val="32"/>
          <w:szCs w:val="32"/>
          <w:highlight w:val="none"/>
          <w:lang w:val="en-US" w:eastAsia="zh-CN"/>
        </w:rPr>
        <w:t>开展</w:t>
      </w:r>
      <w:r>
        <w:rPr>
          <w:rFonts w:hint="eastAsia" w:ascii="宋体" w:hAnsi="宋体" w:eastAsia="宋体" w:cs="宋体"/>
          <w:color w:val="auto"/>
          <w:sz w:val="32"/>
          <w:szCs w:val="32"/>
          <w:highlight w:val="none"/>
          <w:lang w:val="en-US" w:eastAsia="zh-CN"/>
        </w:rPr>
        <w:t>修复项目，修复后将补齐营口市生态短板，大大提高营口全海域生态保护修复水平，提升全海域生态系统质量。</w:t>
      </w:r>
    </w:p>
    <w:p>
      <w:pPr>
        <w:widowControl/>
        <w:shd w:val="clear" w:color="auto" w:fill="FFFFFF"/>
        <w:tabs>
          <w:tab w:val="left" w:pos="420"/>
        </w:tabs>
        <w:spacing w:line="360" w:lineRule="auto"/>
        <w:ind w:firstLine="643" w:firstLineChars="200"/>
        <w:jc w:val="left"/>
        <w:outlineLvl w:val="0"/>
        <w:rPr>
          <w:rFonts w:hint="eastAsia" w:ascii="宋体" w:hAnsi="宋体" w:eastAsia="宋体" w:cs="宋体"/>
          <w:b/>
          <w:color w:val="auto"/>
          <w:sz w:val="32"/>
          <w:szCs w:val="32"/>
          <w:highlight w:val="none"/>
        </w:rPr>
      </w:pPr>
      <w:bookmarkStart w:id="64" w:name="_Toc760"/>
      <w:bookmarkStart w:id="65" w:name="_Toc2994"/>
      <w:bookmarkStart w:id="66" w:name="_Toc11034"/>
      <w:r>
        <w:rPr>
          <w:rFonts w:hint="eastAsia" w:ascii="宋体" w:hAnsi="宋体" w:cs="宋体"/>
          <w:b/>
          <w:color w:val="auto"/>
          <w:sz w:val="32"/>
          <w:szCs w:val="32"/>
          <w:highlight w:val="none"/>
          <w:lang w:val="en-US" w:eastAsia="zh-CN"/>
        </w:rPr>
        <w:t>二</w:t>
      </w:r>
      <w:r>
        <w:rPr>
          <w:rFonts w:hint="eastAsia" w:ascii="宋体" w:hAnsi="宋体" w:eastAsia="宋体" w:cs="宋体"/>
          <w:b/>
          <w:color w:val="auto"/>
          <w:sz w:val="32"/>
          <w:szCs w:val="32"/>
          <w:highlight w:val="none"/>
        </w:rPr>
        <w:t>、项目基本情况</w:t>
      </w:r>
      <w:bookmarkEnd w:id="64"/>
      <w:bookmarkEnd w:id="65"/>
      <w:bookmarkEnd w:id="66"/>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项目名称：辽宁省营口市海洋生态保护修复工程项目</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建设单位：营口市自然资源局</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建设地点：辽宁省营口市</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建设范围：北起大辽河口湿地，南至熊岳河口。围绕“一带、一滩、一湾”总体布局，拟开展大辽河口滨海湿地带保护修复、团山国家级自然保护地生态修复、月亮湾综合治理，实施滨海湿地保护修复、生态护岸建设、沙滩侵蚀修复、水动力环境改善、浒苔防治等保护修复措施。</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建设内容：大辽河口滨海湿地带保护修复，包括永远角芦苇保育修复、西炮台岸线生态减灾修复、西炮台湿地修复、河口水动力环境改善、红海滩保育修复和底栖生物修复等六项内容；团山国家级自然保护地生态修复，内容包括沙滩补沙、种植沙生植被，修复砂质海岸，建设生态缓冲带，形成天然屏障，并建设水下沙坝以减少沙源流失；月亮湾综合治理，内容包括源头治理与防护、预警监测、浒苔打捞等。</w:t>
      </w:r>
    </w:p>
    <w:p>
      <w:pPr>
        <w:spacing w:line="360" w:lineRule="auto"/>
        <w:ind w:firstLine="640" w:firstLineChars="200"/>
        <w:rPr>
          <w:rFonts w:hint="eastAsia" w:ascii="宋体" w:hAnsi="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工程规模：整治修复岸线长2951.90m；整治修复滨海湿地面积1555.22ha</w:t>
      </w:r>
      <w:r>
        <w:rPr>
          <w:rFonts w:hint="eastAsia" w:ascii="宋体" w:hAnsi="宋体" w:cs="宋体"/>
          <w:color w:val="auto"/>
          <w:sz w:val="32"/>
          <w:szCs w:val="32"/>
          <w:highlight w:val="none"/>
          <w:lang w:val="en-US" w:eastAsia="zh-CN"/>
        </w:rPr>
        <w:t>。</w:t>
      </w:r>
    </w:p>
    <w:p>
      <w:pPr>
        <w:widowControl/>
        <w:shd w:val="clear" w:color="auto" w:fill="FFFFFF"/>
        <w:tabs>
          <w:tab w:val="left" w:pos="420"/>
        </w:tabs>
        <w:spacing w:line="360" w:lineRule="auto"/>
        <w:ind w:firstLine="643" w:firstLineChars="200"/>
        <w:jc w:val="left"/>
        <w:outlineLvl w:val="0"/>
        <w:rPr>
          <w:rFonts w:hint="default" w:ascii="宋体" w:hAnsi="宋体" w:cs="宋体"/>
          <w:b/>
          <w:color w:val="auto"/>
          <w:sz w:val="32"/>
          <w:szCs w:val="32"/>
          <w:highlight w:val="none"/>
          <w:lang w:val="en-US" w:eastAsia="zh-CN"/>
        </w:rPr>
      </w:pPr>
      <w:bookmarkStart w:id="67" w:name="_Toc18082"/>
      <w:bookmarkStart w:id="68" w:name="_Toc8848"/>
      <w:bookmarkStart w:id="69" w:name="_Toc19110"/>
      <w:r>
        <w:rPr>
          <w:rFonts w:hint="eastAsia" w:ascii="宋体" w:hAnsi="宋体" w:cs="宋体"/>
          <w:b/>
          <w:color w:val="auto"/>
          <w:sz w:val="32"/>
          <w:szCs w:val="32"/>
          <w:highlight w:val="none"/>
          <w:lang w:val="en-US" w:eastAsia="zh-CN"/>
        </w:rPr>
        <w:t>三、项目需求</w:t>
      </w:r>
      <w:bookmarkEnd w:id="67"/>
      <w:bookmarkEnd w:id="68"/>
      <w:bookmarkEnd w:id="69"/>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（一）</w:t>
      </w:r>
      <w:r>
        <w:rPr>
          <w:rFonts w:hint="eastAsia" w:ascii="宋体" w:hAnsi="宋体" w:cs="宋体"/>
          <w:color w:val="auto"/>
          <w:sz w:val="32"/>
          <w:szCs w:val="32"/>
          <w:highlight w:val="none"/>
          <w:lang w:val="en-US" w:eastAsia="zh-CN"/>
        </w:rPr>
        <w:t>完善项目概况</w:t>
      </w:r>
      <w:r>
        <w:rPr>
          <w:rFonts w:hint="eastAsia" w:ascii="宋体" w:hAnsi="宋体" w:eastAsia="宋体" w:cs="宋体"/>
          <w:color w:val="auto"/>
          <w:sz w:val="32"/>
          <w:szCs w:val="32"/>
          <w:highlight w:val="none"/>
          <w:lang w:val="en-US" w:eastAsia="zh-CN"/>
        </w:rPr>
        <w:t>。从项目位置、生态系统主要问题、必要性、可行性、项目主要内容、经费预算、可量化的预期目标和成效、实施期限、项目成熟度等方面简述项目基本情况。介绍项目拟实施范围自然地理条件、生态系统状况、海域使用现状、社会经济状况、海洋灾害综合风险及防灾能力概况，项目涉及的相关规划等，说明拟实施项目所在区域具体位置和实施区域拐点坐标，提交矢量数据，明确各子项目实施区域及对应的修复内容。2021年以来中央财政资金支持项目实施情况，应详细说明项目实施区域、矢量数据、实施进度、预算执行情况及绩效自评情况，并提供本项目修复范围与2021年以来中央财政支持的项目修复范围叠加图。</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二）补充现场调查与问题识别诊断。科学设置断面和调查点位，补充开展水体环境、水动力、地形地貌基础调查，形成调查数据集，支撑生态系统问题诊断。完善生态系统问题识别与诊断。从生态系统质量、生态系统服务功能和防灾减灾能力等方面，说明生态问题和防灾减灾现状，分析区域生态受损程度、防灾减灾能力不足及生态问题产生原因。</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（三）细化实施内容。（1）</w:t>
      </w:r>
      <w:r>
        <w:rPr>
          <w:rFonts w:hint="eastAsia" w:ascii="宋体" w:hAnsi="宋体" w:cs="宋体"/>
          <w:color w:val="auto"/>
          <w:sz w:val="32"/>
          <w:szCs w:val="32"/>
          <w:highlight w:val="none"/>
          <w:lang w:val="en-US" w:eastAsia="zh-CN"/>
        </w:rPr>
        <w:t>完善修复项目</w:t>
      </w:r>
      <w:r>
        <w:rPr>
          <w:rFonts w:hint="eastAsia" w:ascii="宋体" w:hAnsi="宋体" w:eastAsia="宋体" w:cs="宋体"/>
          <w:color w:val="auto"/>
          <w:sz w:val="32"/>
          <w:szCs w:val="32"/>
          <w:highlight w:val="none"/>
          <w:lang w:val="en-US" w:eastAsia="zh-CN"/>
        </w:rPr>
        <w:t>实施内容</w:t>
      </w:r>
      <w:r>
        <w:rPr>
          <w:rFonts w:hint="eastAsia" w:ascii="宋体" w:hAnsi="宋体" w:cs="宋体"/>
          <w:color w:val="auto"/>
          <w:sz w:val="32"/>
          <w:szCs w:val="32"/>
          <w:highlight w:val="none"/>
          <w:lang w:val="en-US" w:eastAsia="zh-CN"/>
        </w:rPr>
        <w:t>。</w:t>
      </w:r>
      <w:r>
        <w:rPr>
          <w:rFonts w:hint="eastAsia" w:ascii="宋体" w:hAnsi="宋体" w:eastAsia="宋体" w:cs="宋体"/>
          <w:color w:val="auto"/>
          <w:sz w:val="32"/>
          <w:szCs w:val="32"/>
          <w:highlight w:val="none"/>
          <w:lang w:val="en-US" w:eastAsia="zh-CN"/>
        </w:rPr>
        <w:t>根据补充现场调查、问题识别与诊断研究成果，细化说明大辽河口湿地生态修复区、团山国家级自然保护地生态修复区、月亮湾综合治理区在内的“带、一滩、一湾”的整体布局，并细化设计盐沼湿地生境保护修复、植被保育和种植、底栖生物修复、沙滩补沙和沙生植被种植、生态缓冲带建设、河口水动力环境改善、浒苔综合防治、海岸带防灾减灾建设等实施方案，完善单项工程布局和工程断面图。（2）完善</w:t>
      </w:r>
      <w:r>
        <w:rPr>
          <w:rFonts w:hint="eastAsia" w:ascii="宋体" w:hAnsi="宋体" w:cs="宋体"/>
          <w:color w:val="auto"/>
          <w:sz w:val="32"/>
          <w:szCs w:val="32"/>
          <w:highlight w:val="none"/>
          <w:lang w:val="en-US" w:eastAsia="zh-CN"/>
        </w:rPr>
        <w:t>修复</w:t>
      </w:r>
      <w:r>
        <w:rPr>
          <w:rFonts w:hint="eastAsia" w:ascii="宋体" w:hAnsi="宋体" w:eastAsia="宋体" w:cs="宋体"/>
          <w:color w:val="auto"/>
          <w:sz w:val="32"/>
          <w:szCs w:val="32"/>
          <w:highlight w:val="none"/>
          <w:lang w:val="en-US" w:eastAsia="zh-CN"/>
        </w:rPr>
        <w:t>技术路线。包括项目生态修复的总体思路、技术路线、技术手段和方法、工程布局、主要工程量等。工程方案要达到可研设计水平，方案中涉及用海或占用土地等权属问题，涉及耕地和永久基本农田保护红线、生态保护红线、自然保护地、确权用海和拆迁安置等利益相关者问题，要逐条说明，并提供相关批复文件、协议书或当地政府承诺书；涉及砂质海岸修复的，要提供沙源来源说明。</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（四）</w:t>
      </w:r>
      <w:r>
        <w:rPr>
          <w:rFonts w:hint="eastAsia" w:ascii="宋体" w:hAnsi="宋体" w:cs="宋体"/>
          <w:color w:val="auto"/>
          <w:sz w:val="32"/>
          <w:szCs w:val="32"/>
          <w:highlight w:val="none"/>
          <w:lang w:val="en-US" w:eastAsia="zh-CN"/>
        </w:rPr>
        <w:t>完善</w:t>
      </w:r>
      <w:r>
        <w:rPr>
          <w:rFonts w:hint="eastAsia" w:ascii="宋体" w:hAnsi="宋体" w:eastAsia="宋体" w:cs="宋体"/>
          <w:color w:val="auto"/>
          <w:sz w:val="32"/>
          <w:szCs w:val="32"/>
          <w:highlight w:val="none"/>
          <w:lang w:val="en-US" w:eastAsia="zh-CN"/>
        </w:rPr>
        <w:t>进度安排。项目实施期限为2024-2026年，管护期限不得少于3年。按年度说明项目、子项目工作内容安排和实施进度。</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（五）投资概算</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明确项目预算支出明细和中央、地方、社会资金支出明细，其中：中央财政资金主要用于支持与项目直接相关的符合资金管理办法规定的建设内容。</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（六）组织实施与监督管理</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要明确项目具体组织和实施的责任单位和部门，从组织领导、政策保障、管理机制、资金管理、监督检查、生态监测评估与适应性管理、长期管护等方面，说明拟采取的保障项目顺利实施的措施。</w:t>
      </w:r>
    </w:p>
    <w:p>
      <w:pPr>
        <w:pStyle w:val="4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color w:val="auto"/>
          <w:kern w:val="0"/>
          <w:sz w:val="32"/>
          <w:szCs w:val="32"/>
          <w:highlight w:val="none"/>
          <w:lang w:val="en-US" w:eastAsia="zh-CN" w:bidi="ar-SA"/>
        </w:rPr>
      </w:pP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b w:val="0"/>
          <w:bCs/>
          <w:color w:val="auto"/>
          <w:kern w:val="0"/>
          <w:sz w:val="32"/>
          <w:szCs w:val="32"/>
          <w:highlight w:val="none"/>
          <w:lang w:val="en-US" w:eastAsia="zh-CN" w:bidi="ar-SA"/>
        </w:rPr>
      </w:pPr>
      <w:r>
        <w:rPr>
          <w:rFonts w:hint="eastAsia" w:ascii="宋体" w:hAnsi="宋体" w:eastAsia="宋体" w:cs="宋体"/>
          <w:b w:val="0"/>
          <w:bCs/>
          <w:color w:val="auto"/>
          <w:kern w:val="0"/>
          <w:sz w:val="32"/>
          <w:szCs w:val="32"/>
          <w:highlight w:val="none"/>
          <w:lang w:val="en-US" w:eastAsia="zh-CN" w:bidi="ar-SA"/>
        </w:rPr>
        <w:t>招标范围：拟委托1家服务机构提供辽宁省营口市海洋生态保护修复工程项目实施方案编制服务，以满足项目后期工作的开展。方案应按照相关法律法规、国家现有政策、国家相关总体规划及相关指导意见的要求进行编制。所递交的方案须通过相关行政部门审核。</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b w:val="0"/>
          <w:bCs/>
          <w:color w:val="auto"/>
          <w:kern w:val="0"/>
          <w:sz w:val="32"/>
          <w:szCs w:val="32"/>
          <w:highlight w:val="none"/>
          <w:lang w:val="en-US" w:eastAsia="zh-CN" w:bidi="ar-SA"/>
        </w:rPr>
      </w:pPr>
      <w:r>
        <w:rPr>
          <w:rFonts w:hint="eastAsia" w:ascii="宋体" w:hAnsi="宋体" w:eastAsia="宋体" w:cs="宋体"/>
          <w:b w:val="0"/>
          <w:bCs/>
          <w:color w:val="auto"/>
          <w:kern w:val="0"/>
          <w:sz w:val="32"/>
          <w:szCs w:val="32"/>
          <w:highlight w:val="none"/>
          <w:lang w:val="en-US" w:eastAsia="zh-CN" w:bidi="ar-SA"/>
        </w:rPr>
        <w:t>最高限价：95.3万元，高于此限价的投标无效。</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b w:val="0"/>
          <w:bCs/>
          <w:color w:val="auto"/>
          <w:kern w:val="0"/>
          <w:sz w:val="32"/>
          <w:szCs w:val="32"/>
          <w:highlight w:val="none"/>
          <w:lang w:val="en-US" w:eastAsia="zh-CN" w:bidi="ar-SA"/>
        </w:rPr>
      </w:pPr>
      <w:r>
        <w:rPr>
          <w:rFonts w:hint="eastAsia" w:ascii="宋体" w:hAnsi="宋体" w:eastAsia="宋体" w:cs="宋体"/>
          <w:b w:val="0"/>
          <w:bCs/>
          <w:color w:val="auto"/>
          <w:kern w:val="0"/>
          <w:sz w:val="32"/>
          <w:szCs w:val="32"/>
          <w:highlight w:val="none"/>
          <w:lang w:val="en-US" w:eastAsia="zh-CN" w:bidi="ar-SA"/>
        </w:rPr>
        <w:t>服务期限：自合同签订之日起30日内完成相关工作。</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b w:val="0"/>
          <w:bCs/>
          <w:color w:val="auto"/>
          <w:kern w:val="0"/>
          <w:sz w:val="32"/>
          <w:szCs w:val="32"/>
          <w:highlight w:val="none"/>
          <w:lang w:val="en-US" w:eastAsia="zh-CN" w:bidi="ar-SA"/>
        </w:rPr>
      </w:pPr>
      <w:r>
        <w:rPr>
          <w:rFonts w:hint="eastAsia" w:ascii="宋体" w:hAnsi="宋体" w:eastAsia="宋体" w:cs="宋体"/>
          <w:b w:val="0"/>
          <w:bCs/>
          <w:color w:val="auto"/>
          <w:kern w:val="0"/>
          <w:sz w:val="32"/>
          <w:szCs w:val="32"/>
          <w:highlight w:val="none"/>
          <w:lang w:val="en-US" w:eastAsia="zh-CN" w:bidi="ar-SA"/>
        </w:rPr>
        <w:t>质量要求：合格，文件满足国内报批的要求。</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b w:val="0"/>
          <w:bCs/>
          <w:color w:val="auto"/>
          <w:kern w:val="0"/>
          <w:sz w:val="32"/>
          <w:szCs w:val="32"/>
          <w:highlight w:val="none"/>
          <w:lang w:val="en-US" w:eastAsia="zh-CN" w:bidi="ar-SA"/>
        </w:rPr>
      </w:pPr>
      <w:r>
        <w:rPr>
          <w:rFonts w:hint="eastAsia" w:ascii="宋体" w:hAnsi="宋体" w:eastAsia="宋体" w:cs="宋体"/>
          <w:b w:val="0"/>
          <w:bCs/>
          <w:color w:val="auto"/>
          <w:kern w:val="0"/>
          <w:sz w:val="32"/>
          <w:szCs w:val="32"/>
          <w:highlight w:val="none"/>
          <w:lang w:val="en-US" w:eastAsia="zh-CN" w:bidi="ar-SA"/>
        </w:rPr>
        <w:t>付款方式：分两次支付。第一次付款：自合同签订后15日内，支付至合同价款的20%；第二次付款：履约完成20日内，支付至合同价款的100%。二次付款均应提供有效发票（含税）。</w:t>
      </w:r>
    </w:p>
    <w:p>
      <w:pPr>
        <w:rPr>
          <w:rFonts w:hint="eastAsia" w:ascii="宋体" w:hAnsi="宋体" w:eastAsia="宋体" w:cs="宋体"/>
          <w:color w:val="auto"/>
          <w:w w:val="90"/>
          <w:highlight w:val="none"/>
        </w:rPr>
      </w:pPr>
      <w:r>
        <w:rPr>
          <w:rFonts w:hint="eastAsia" w:ascii="宋体" w:hAnsi="宋体" w:eastAsia="宋体" w:cs="宋体"/>
          <w:color w:val="auto"/>
          <w:w w:val="90"/>
          <w:highlight w:val="none"/>
        </w:rPr>
        <w:br w:type="page"/>
      </w:r>
    </w:p>
    <w:p>
      <w:pPr>
        <w:pStyle w:val="4"/>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70" w:name="_Toc350515663"/>
      <w:bookmarkStart w:id="71" w:name="_Toc343510609"/>
      <w:bookmarkStart w:id="72" w:name="_Toc344394210"/>
      <w:bookmarkStart w:id="73" w:name="_Toc13040"/>
      <w:bookmarkStart w:id="74" w:name="_Toc28352"/>
      <w:bookmarkStart w:id="75" w:name="_Toc349568733"/>
      <w:r>
        <w:rPr>
          <w:rFonts w:hint="eastAsia" w:ascii="宋体" w:hAnsi="宋体" w:eastAsia="宋体" w:cs="宋体"/>
          <w:color w:val="auto"/>
          <w:w w:val="90"/>
          <w:highlight w:val="none"/>
        </w:rPr>
        <w:t>附件（投标文件格式）</w:t>
      </w:r>
      <w:bookmarkEnd w:id="70"/>
      <w:bookmarkEnd w:id="71"/>
      <w:bookmarkEnd w:id="72"/>
      <w:bookmarkEnd w:id="73"/>
      <w:bookmarkEnd w:id="74"/>
      <w:bookmarkEnd w:id="75"/>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p>
    <w:p>
      <w:pPr>
        <w:spacing w:line="360" w:lineRule="auto"/>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封面格式：</w:t>
      </w:r>
    </w:p>
    <w:p>
      <w:pPr>
        <w:tabs>
          <w:tab w:val="left" w:pos="720"/>
          <w:tab w:val="left" w:pos="8295"/>
        </w:tabs>
        <w:spacing w:before="240" w:line="360" w:lineRule="auto"/>
        <w:jc w:val="center"/>
        <w:rPr>
          <w:rFonts w:hint="eastAsia" w:ascii="宋体" w:hAnsi="宋体" w:eastAsia="宋体" w:cs="宋体"/>
          <w:b/>
          <w:color w:val="auto"/>
          <w:kern w:val="0"/>
          <w:sz w:val="84"/>
          <w:szCs w:val="84"/>
          <w:highlight w:val="none"/>
        </w:rPr>
      </w:pPr>
    </w:p>
    <w:p>
      <w:pPr>
        <w:tabs>
          <w:tab w:val="left" w:pos="720"/>
          <w:tab w:val="left" w:pos="8295"/>
        </w:tabs>
        <w:spacing w:before="240"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p>
    <w:p>
      <w:pPr>
        <w:spacing w:before="100" w:beforeAutospacing="1" w:after="100" w:afterAutospacing="1" w:line="360" w:lineRule="auto"/>
        <w:jc w:val="center"/>
        <w:rPr>
          <w:rFonts w:hint="eastAsia" w:ascii="宋体" w:hAnsi="宋体" w:eastAsia="宋体" w:cs="宋体"/>
          <w:b/>
          <w:bCs/>
          <w:color w:val="auto"/>
          <w:sz w:val="32"/>
          <w:szCs w:val="32"/>
          <w:highlight w:val="none"/>
        </w:rPr>
      </w:pPr>
    </w:p>
    <w:p>
      <w:pPr>
        <w:spacing w:line="360" w:lineRule="auto"/>
        <w:ind w:firstLine="1108" w:firstLineChars="345"/>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w:t>
      </w:r>
    </w:p>
    <w:p>
      <w:pPr>
        <w:spacing w:line="360" w:lineRule="auto"/>
        <w:ind w:firstLine="1108" w:firstLineChars="345"/>
        <w:rPr>
          <w:rFonts w:hint="eastAsia" w:ascii="宋体" w:hAnsi="宋体" w:eastAsia="宋体" w:cs="宋体"/>
          <w:b/>
          <w:bCs/>
          <w:color w:val="auto"/>
          <w:sz w:val="32"/>
          <w:szCs w:val="32"/>
          <w:highlight w:val="none"/>
        </w:rPr>
      </w:pPr>
    </w:p>
    <w:p>
      <w:pPr>
        <w:spacing w:line="360" w:lineRule="auto"/>
        <w:ind w:firstLine="1108" w:firstLineChars="34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项目名称：</w:t>
      </w:r>
    </w:p>
    <w:p>
      <w:pPr>
        <w:spacing w:line="360" w:lineRule="auto"/>
        <w:ind w:firstLine="1108" w:firstLineChars="345"/>
        <w:rPr>
          <w:rFonts w:hint="eastAsia" w:ascii="宋体" w:hAnsi="宋体" w:eastAsia="宋体" w:cs="宋体"/>
          <w:b/>
          <w:color w:val="auto"/>
          <w:kern w:val="0"/>
          <w:sz w:val="32"/>
          <w:szCs w:val="32"/>
          <w:highlight w:val="none"/>
        </w:rPr>
      </w:pPr>
    </w:p>
    <w:p>
      <w:pPr>
        <w:spacing w:line="360" w:lineRule="auto"/>
        <w:ind w:firstLine="1108" w:firstLineChars="345"/>
        <w:rPr>
          <w:rFonts w:hint="eastAsia" w:ascii="宋体" w:hAnsi="宋体" w:eastAsia="宋体" w:cs="宋体"/>
          <w:b/>
          <w:color w:val="auto"/>
          <w:kern w:val="0"/>
          <w:sz w:val="32"/>
          <w:szCs w:val="32"/>
          <w:highlight w:val="none"/>
        </w:rPr>
      </w:pP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投标人名称：</w:t>
      </w:r>
      <w:r>
        <w:rPr>
          <w:rFonts w:hint="eastAsia" w:ascii="宋体" w:hAnsi="宋体" w:eastAsia="宋体" w:cs="宋体"/>
          <w:b/>
          <w:color w:val="auto"/>
          <w:kern w:val="0"/>
          <w:sz w:val="32"/>
          <w:szCs w:val="32"/>
          <w:highlight w:val="none"/>
          <w:u w:val="single"/>
        </w:rPr>
        <w:t xml:space="preserve">                             （盖公章） </w:t>
      </w: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法定代表人或授权委托人：</w:t>
      </w:r>
      <w:r>
        <w:rPr>
          <w:rFonts w:hint="eastAsia" w:ascii="宋体" w:hAnsi="宋体" w:eastAsia="宋体" w:cs="宋体"/>
          <w:b/>
          <w:color w:val="auto"/>
          <w:kern w:val="0"/>
          <w:sz w:val="32"/>
          <w:szCs w:val="32"/>
          <w:highlight w:val="none"/>
          <w:u w:val="single"/>
        </w:rPr>
        <w:t xml:space="preserve">           （签字或盖章） </w:t>
      </w:r>
    </w:p>
    <w:p>
      <w:pPr>
        <w:spacing w:line="360" w:lineRule="auto"/>
        <w:ind w:firstLine="141" w:firstLineChars="44"/>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公司地址：</w:t>
      </w:r>
      <w:r>
        <w:rPr>
          <w:rFonts w:hint="eastAsia" w:ascii="宋体" w:hAnsi="宋体" w:eastAsia="宋体" w:cs="宋体"/>
          <w:b/>
          <w:color w:val="auto"/>
          <w:kern w:val="0"/>
          <w:sz w:val="32"/>
          <w:szCs w:val="32"/>
          <w:highlight w:val="none"/>
          <w:u w:val="single"/>
        </w:rPr>
        <w:t xml:space="preserve">                                        </w:t>
      </w: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日      期：</w:t>
      </w:r>
      <w:r>
        <w:rPr>
          <w:rFonts w:hint="eastAsia" w:ascii="宋体" w:hAnsi="宋体" w:eastAsia="宋体" w:cs="宋体"/>
          <w:b/>
          <w:color w:val="auto"/>
          <w:kern w:val="0"/>
          <w:sz w:val="32"/>
          <w:szCs w:val="32"/>
          <w:highlight w:val="none"/>
          <w:u w:val="single"/>
        </w:rPr>
        <w:t xml:space="preserve">                                      </w:t>
      </w:r>
    </w:p>
    <w:p>
      <w:pPr>
        <w:spacing w:line="360" w:lineRule="auto"/>
        <w:rPr>
          <w:rFonts w:hint="eastAsia" w:ascii="宋体" w:hAnsi="宋体" w:eastAsia="宋体" w:cs="宋体"/>
          <w:b/>
          <w:color w:val="auto"/>
          <w:spacing w:val="60"/>
          <w:sz w:val="24"/>
          <w:szCs w:val="24"/>
          <w:highlight w:val="none"/>
          <w:u w:val="single"/>
        </w:rPr>
      </w:pPr>
    </w:p>
    <w:p>
      <w:pPr>
        <w:pStyle w:val="6"/>
        <w:spacing w:line="360" w:lineRule="auto"/>
        <w:jc w:val="center"/>
        <w:rPr>
          <w:rFonts w:hint="eastAsia" w:ascii="宋体" w:hAnsi="宋体" w:eastAsia="宋体" w:cs="宋体"/>
          <w:color w:val="auto"/>
          <w:sz w:val="28"/>
          <w:szCs w:val="28"/>
          <w:highlight w:val="none"/>
        </w:rPr>
      </w:pPr>
      <w:bookmarkStart w:id="76" w:name="_Toc47418724"/>
      <w:bookmarkStart w:id="77" w:name="_Toc47261683"/>
      <w:bookmarkStart w:id="78" w:name="_Toc198021513"/>
      <w:bookmarkStart w:id="79" w:name="_Toc47261878"/>
      <w:bookmarkStart w:id="80" w:name="_Toc47418931"/>
      <w:bookmarkStart w:id="81" w:name="_Toc48791228"/>
      <w:bookmarkStart w:id="82" w:name="_Toc48995844"/>
      <w:bookmarkStart w:id="83" w:name="_Toc49019229"/>
      <w:bookmarkStart w:id="84" w:name="_Toc47262062"/>
      <w:bookmarkStart w:id="85" w:name="_Toc47418248"/>
      <w:r>
        <w:rPr>
          <w:rFonts w:hint="eastAsia" w:ascii="宋体" w:hAnsi="宋体" w:eastAsia="宋体" w:cs="宋体"/>
          <w:color w:val="auto"/>
          <w:sz w:val="28"/>
          <w:szCs w:val="28"/>
          <w:highlight w:val="none"/>
        </w:rPr>
        <w:br w:type="page"/>
      </w:r>
      <w:bookmarkStart w:id="86" w:name="_Toc344397377"/>
      <w:bookmarkStart w:id="87" w:name="_Toc343510610"/>
      <w:bookmarkStart w:id="88" w:name="_Toc349568734"/>
      <w:bookmarkStart w:id="89" w:name="_Toc350516678"/>
      <w:bookmarkStart w:id="90" w:name="_Toc369353506"/>
      <w:bookmarkStart w:id="91" w:name="_Toc350515664"/>
      <w:bookmarkStart w:id="92" w:name="_Toc24222"/>
      <w:bookmarkStart w:id="93" w:name="_Toc349914539"/>
      <w:bookmarkStart w:id="94" w:name="_Toc344394211"/>
      <w:bookmarkStart w:id="95" w:name="_Toc16092"/>
      <w:bookmarkStart w:id="96" w:name="_Toc8520"/>
      <w:bookmarkStart w:id="97" w:name="_Toc330342807"/>
      <w:bookmarkStart w:id="98" w:name="_Toc7424"/>
      <w:r>
        <w:rPr>
          <w:rFonts w:hint="eastAsia" w:ascii="宋体" w:hAnsi="宋体" w:eastAsia="宋体" w:cs="宋体"/>
          <w:color w:val="auto"/>
          <w:highlight w:val="none"/>
        </w:rPr>
        <w:t>第一部分 投标函部分</w:t>
      </w:r>
      <w:bookmarkEnd w:id="86"/>
      <w:bookmarkEnd w:id="87"/>
      <w:bookmarkEnd w:id="88"/>
      <w:bookmarkEnd w:id="89"/>
      <w:bookmarkEnd w:id="90"/>
      <w:bookmarkEnd w:id="91"/>
      <w:bookmarkEnd w:id="92"/>
      <w:bookmarkEnd w:id="93"/>
      <w:bookmarkEnd w:id="94"/>
      <w:bookmarkEnd w:id="95"/>
      <w:bookmarkEnd w:id="96"/>
      <w:bookmarkEnd w:id="97"/>
      <w:bookmarkEnd w:id="98"/>
    </w:p>
    <w:p>
      <w:pPr>
        <w:pStyle w:val="6"/>
        <w:spacing w:line="360" w:lineRule="auto"/>
        <w:rPr>
          <w:rFonts w:hint="eastAsia" w:ascii="宋体" w:hAnsi="宋体" w:eastAsia="宋体" w:cs="宋体"/>
          <w:color w:val="auto"/>
          <w:sz w:val="28"/>
          <w:szCs w:val="28"/>
          <w:highlight w:val="none"/>
        </w:rPr>
      </w:pPr>
      <w:bookmarkStart w:id="99" w:name="_Toc330342557"/>
      <w:bookmarkStart w:id="100" w:name="_Toc25016"/>
      <w:bookmarkStart w:id="101" w:name="_Toc344394212"/>
      <w:bookmarkStart w:id="102" w:name="_Toc349568735"/>
      <w:bookmarkStart w:id="103" w:name="_Toc10045"/>
      <w:bookmarkStart w:id="104" w:name="_Toc344397378"/>
      <w:bookmarkStart w:id="105" w:name="_Toc343510611"/>
      <w:bookmarkStart w:id="106" w:name="_Toc330342808"/>
      <w:bookmarkStart w:id="107" w:name="_Toc369353507"/>
      <w:bookmarkStart w:id="108" w:name="_Toc349914540"/>
      <w:bookmarkStart w:id="109" w:name="_Toc20177"/>
      <w:bookmarkStart w:id="110" w:name="_Toc32757"/>
      <w:bookmarkStart w:id="111" w:name="_Toc350515665"/>
      <w:bookmarkStart w:id="112" w:name="_Toc350516679"/>
      <w:r>
        <w:rPr>
          <w:rFonts w:hint="eastAsia" w:ascii="宋体" w:hAnsi="宋体" w:eastAsia="宋体" w:cs="宋体"/>
          <w:color w:val="auto"/>
          <w:sz w:val="28"/>
          <w:szCs w:val="28"/>
          <w:highlight w:val="none"/>
        </w:rPr>
        <w:t>1、投标函(格式</w:t>
      </w:r>
      <w:bookmarkEnd w:id="76"/>
      <w:bookmarkEnd w:id="77"/>
      <w:bookmarkEnd w:id="78"/>
      <w:bookmarkEnd w:id="79"/>
      <w:bookmarkEnd w:id="80"/>
      <w:bookmarkEnd w:id="81"/>
      <w:bookmarkEnd w:id="82"/>
      <w:bookmarkEnd w:id="83"/>
      <w:bookmarkEnd w:id="84"/>
      <w:bookmarkEnd w:id="85"/>
      <w:bookmarkEnd w:id="99"/>
      <w:bookmarkEnd w:id="100"/>
      <w:bookmarkEnd w:id="101"/>
      <w:bookmarkEnd w:id="102"/>
      <w:bookmarkEnd w:id="103"/>
      <w:bookmarkEnd w:id="104"/>
      <w:bookmarkEnd w:id="105"/>
      <w:bookmarkEnd w:id="106"/>
      <w:r>
        <w:rPr>
          <w:rFonts w:hint="eastAsia" w:ascii="宋体" w:hAnsi="宋体" w:eastAsia="宋体" w:cs="宋体"/>
          <w:color w:val="auto"/>
          <w:sz w:val="28"/>
          <w:szCs w:val="28"/>
          <w:highlight w:val="none"/>
        </w:rPr>
        <w:t>)</w:t>
      </w:r>
      <w:bookmarkEnd w:id="107"/>
      <w:bookmarkEnd w:id="108"/>
      <w:bookmarkEnd w:id="109"/>
      <w:bookmarkEnd w:id="110"/>
      <w:bookmarkEnd w:id="111"/>
      <w:bookmarkEnd w:id="112"/>
    </w:p>
    <w:p>
      <w:pPr>
        <w:spacing w:line="360" w:lineRule="auto"/>
        <w:jc w:val="center"/>
        <w:rPr>
          <w:rFonts w:hint="eastAsia" w:ascii="宋体" w:hAnsi="宋体" w:eastAsia="宋体" w:cs="宋体"/>
          <w:b/>
          <w:color w:val="auto"/>
          <w:sz w:val="32"/>
          <w:highlight w:val="none"/>
        </w:rPr>
      </w:pPr>
      <w:bookmarkStart w:id="113" w:name="_Toc47261880"/>
      <w:bookmarkStart w:id="114" w:name="_Toc198021515"/>
      <w:bookmarkStart w:id="115" w:name="_Toc47262064"/>
      <w:bookmarkStart w:id="116" w:name="_Toc48791230"/>
      <w:bookmarkStart w:id="117" w:name="_Toc47418726"/>
      <w:bookmarkStart w:id="118" w:name="_Toc47418933"/>
      <w:bookmarkStart w:id="119" w:name="_Toc47418250"/>
      <w:bookmarkStart w:id="120" w:name="_Toc48995846"/>
      <w:bookmarkStart w:id="121" w:name="_Toc47261685"/>
      <w:bookmarkStart w:id="122" w:name="_Toc49019231"/>
      <w:r>
        <w:rPr>
          <w:rFonts w:hint="eastAsia" w:ascii="宋体" w:hAnsi="宋体" w:eastAsia="宋体" w:cs="宋体"/>
          <w:b/>
          <w:color w:val="auto"/>
          <w:sz w:val="42"/>
          <w:highlight w:val="none"/>
        </w:rPr>
        <w:t>投  标  函</w:t>
      </w:r>
      <w:r>
        <w:rPr>
          <w:rFonts w:hint="eastAsia" w:ascii="宋体" w:hAnsi="宋体" w:eastAsia="宋体" w:cs="宋体"/>
          <w:b/>
          <w:color w:val="auto"/>
          <w:sz w:val="32"/>
          <w:highlight w:val="none"/>
        </w:rPr>
        <w:t xml:space="preserve"> </w:t>
      </w:r>
    </w:p>
    <w:p>
      <w:pPr>
        <w:spacing w:after="120" w:line="360" w:lineRule="auto"/>
        <w:rPr>
          <w:rFonts w:hint="eastAsia" w:ascii="宋体" w:hAnsi="宋体" w:eastAsia="宋体" w:cs="宋体"/>
          <w:color w:val="auto"/>
          <w:sz w:val="24"/>
          <w:highlight w:val="none"/>
        </w:rPr>
      </w:pPr>
      <w:r>
        <w:rPr>
          <w:rFonts w:hint="eastAsia" w:ascii="宋体" w:hAnsi="宋体" w:eastAsia="宋体" w:cs="宋体"/>
          <w:b/>
          <w:color w:val="auto"/>
          <w:spacing w:val="10"/>
          <w:sz w:val="24"/>
          <w:highlight w:val="none"/>
        </w:rPr>
        <w:t xml:space="preserve">致 </w:t>
      </w:r>
      <w:r>
        <w:rPr>
          <w:rFonts w:hint="eastAsia" w:ascii="宋体" w:hAnsi="宋体" w:eastAsia="宋体" w:cs="宋体"/>
          <w:b/>
          <w:color w:val="auto"/>
          <w:spacing w:val="10"/>
          <w:sz w:val="24"/>
          <w:highlight w:val="none"/>
          <w:lang w:eastAsia="zh-CN"/>
        </w:rPr>
        <w:t>营口市自然资源局</w:t>
      </w:r>
      <w:r>
        <w:rPr>
          <w:rFonts w:hint="eastAsia" w:ascii="宋体" w:hAnsi="宋体" w:eastAsia="宋体" w:cs="宋体"/>
          <w:b/>
          <w:color w:val="auto"/>
          <w:spacing w:val="10"/>
          <w:sz w:val="24"/>
          <w:highlight w:val="none"/>
        </w:rPr>
        <w:t>:</w:t>
      </w:r>
    </w:p>
    <w:p>
      <w:pPr>
        <w:spacing w:after="120" w:line="360" w:lineRule="auto"/>
        <w:ind w:firstLine="391" w:firstLineChars="150"/>
        <w:rPr>
          <w:rFonts w:hint="eastAsia" w:ascii="宋体" w:hAnsi="宋体" w:eastAsia="宋体" w:cs="宋体"/>
          <w:b/>
          <w:color w:val="auto"/>
          <w:spacing w:val="10"/>
          <w:sz w:val="24"/>
          <w:highlight w:val="none"/>
        </w:rPr>
      </w:pPr>
      <w:r>
        <w:rPr>
          <w:rFonts w:hint="eastAsia" w:ascii="宋体" w:hAnsi="宋体" w:eastAsia="宋体" w:cs="宋体"/>
          <w:b/>
          <w:color w:val="auto"/>
          <w:spacing w:val="10"/>
          <w:sz w:val="24"/>
          <w:highlight w:val="none"/>
        </w:rPr>
        <w:t>辽宁国信建设工程管理有限公司：</w:t>
      </w:r>
    </w:p>
    <w:p>
      <w:pPr>
        <w:tabs>
          <w:tab w:val="left" w:pos="0"/>
          <w:tab w:val="left" w:pos="1155"/>
        </w:tabs>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根据贵公司“</w:t>
      </w:r>
      <w:r>
        <w:rPr>
          <w:rFonts w:hint="eastAsia" w:ascii="宋体" w:hAnsi="宋体" w:eastAsia="宋体" w:cs="宋体"/>
          <w:color w:val="auto"/>
          <w:sz w:val="24"/>
          <w:highlight w:val="none"/>
          <w:lang w:eastAsia="zh-CN"/>
        </w:rPr>
        <w:t>辽宁省营口市海洋生态保护修复工程项目实施方案编制服务</w:t>
      </w:r>
      <w:r>
        <w:rPr>
          <w:rFonts w:hint="eastAsia" w:ascii="宋体" w:hAnsi="宋体" w:eastAsia="宋体" w:cs="宋体"/>
          <w:color w:val="auto"/>
          <w:sz w:val="24"/>
          <w:highlight w:val="none"/>
        </w:rPr>
        <w:t>”的招标文件，我单位（公司）决定参加本项目的投标，我单位（或公司）同意以下事项：</w:t>
      </w:r>
    </w:p>
    <w:p>
      <w:pPr>
        <w:snapToGrid w:val="0"/>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1.我方愿以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元</w:t>
      </w:r>
      <w:r>
        <w:rPr>
          <w:rFonts w:hint="eastAsia" w:ascii="宋体" w:hAnsi="宋体" w:eastAsia="宋体" w:cs="宋体"/>
          <w:color w:val="auto"/>
          <w:sz w:val="24"/>
          <w:highlight w:val="none"/>
        </w:rPr>
        <w:t>承包上述项目的</w:t>
      </w:r>
      <w:r>
        <w:rPr>
          <w:rFonts w:hint="eastAsia" w:ascii="宋体" w:hAnsi="宋体" w:eastAsia="宋体" w:cs="宋体"/>
          <w:color w:val="auto"/>
          <w:sz w:val="24"/>
          <w:highlight w:val="none"/>
          <w:lang w:val="en-US" w:eastAsia="zh-CN"/>
        </w:rPr>
        <w:t>服务工作</w:t>
      </w:r>
      <w:r>
        <w:rPr>
          <w:rFonts w:hint="eastAsia" w:ascii="宋体" w:hAnsi="宋体" w:eastAsia="宋体" w:cs="宋体"/>
          <w:color w:val="auto"/>
          <w:sz w:val="24"/>
          <w:highlight w:val="none"/>
        </w:rPr>
        <w:t>，并承担任何质量缺陷保障责任：</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w:t>
      </w:r>
      <w:r>
        <w:rPr>
          <w:rFonts w:hint="eastAsia" w:ascii="宋体" w:hAnsi="宋体" w:eastAsia="宋体" w:cs="宋体"/>
          <w:color w:val="auto"/>
          <w:sz w:val="24"/>
          <w:highlight w:val="none"/>
        </w:rPr>
        <w:t>遵守招标文件的各项条款及一切有关规定，同时</w:t>
      </w:r>
      <w:r>
        <w:rPr>
          <w:rFonts w:hint="eastAsia" w:ascii="宋体" w:hAnsi="宋体" w:eastAsia="宋体" w:cs="宋体"/>
          <w:color w:val="auto"/>
          <w:sz w:val="24"/>
          <w:szCs w:val="24"/>
          <w:highlight w:val="none"/>
        </w:rPr>
        <w:t>将按招标文件的规定履行合同责任和义务。</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质量要求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6.向贵方提供所有与投标项有关的真实有效的数据、情况和技术资料。</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7.投标人已详细审查全部招标文件。我们完全理解并同意放弃对这方面有不明及误解的权力。</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8.本投标文件自贵方收到之日生效，有效期至开标后90个日历天，在此期间本投标文件之规定对我方具有约束力。</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9.如果我方投标被接受，则至合同履行完成和质量保证期满为止，本投标文件保持有效。</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电  话：</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传  真：</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法定代表人或授权委托代理人（签字或盖章）：</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bookmarkStart w:id="123" w:name="_Toc344394213"/>
      <w:bookmarkStart w:id="124" w:name="_Toc343510612"/>
      <w:bookmarkStart w:id="125" w:name="_Toc349568736"/>
      <w:bookmarkStart w:id="126" w:name="_Toc21492"/>
      <w:bookmarkStart w:id="127" w:name="_Toc19626"/>
      <w:bookmarkStart w:id="128" w:name="_Toc330342558"/>
      <w:bookmarkStart w:id="129" w:name="_Toc344397379"/>
      <w:bookmarkStart w:id="130" w:name="_Toc330342809"/>
    </w:p>
    <w:bookmarkEnd w:id="123"/>
    <w:bookmarkEnd w:id="124"/>
    <w:bookmarkEnd w:id="125"/>
    <w:bookmarkEnd w:id="126"/>
    <w:bookmarkEnd w:id="127"/>
    <w:bookmarkEnd w:id="128"/>
    <w:bookmarkEnd w:id="129"/>
    <w:bookmarkEnd w:id="130"/>
    <w:p>
      <w:pPr>
        <w:rPr>
          <w:rFonts w:hint="eastAsia" w:ascii="宋体" w:hAnsi="宋体" w:eastAsia="宋体" w:cs="宋体"/>
          <w:color w:val="auto"/>
          <w:sz w:val="28"/>
          <w:szCs w:val="28"/>
          <w:highlight w:val="none"/>
        </w:rPr>
      </w:pPr>
      <w:bookmarkStart w:id="131" w:name="_Toc350516683"/>
      <w:bookmarkStart w:id="132" w:name="_Toc429748310"/>
      <w:bookmarkStart w:id="133" w:name="_Toc344394214"/>
      <w:bookmarkStart w:id="134" w:name="_Toc330342559"/>
      <w:bookmarkStart w:id="135" w:name="_Toc349914544"/>
      <w:bookmarkStart w:id="136" w:name="_Toc361385972"/>
      <w:bookmarkStart w:id="137" w:name="_Toc344394217"/>
      <w:bookmarkStart w:id="138" w:name="_Toc344397383"/>
      <w:bookmarkStart w:id="139" w:name="_Toc343510613"/>
      <w:bookmarkStart w:id="140" w:name="_Toc349568740"/>
      <w:bookmarkStart w:id="141" w:name="_Toc344397380"/>
      <w:bookmarkStart w:id="142" w:name="_Toc30056"/>
      <w:bookmarkStart w:id="143" w:name="_Toc369353508"/>
      <w:bookmarkStart w:id="144" w:name="_Toc330342810"/>
      <w:bookmarkStart w:id="145" w:name="_Toc24818"/>
      <w:bookmarkStart w:id="146" w:name="_Toc2175"/>
      <w:bookmarkStart w:id="147" w:name="_Toc5685"/>
      <w:bookmarkStart w:id="148" w:name="_Toc350515669"/>
      <w:bookmarkStart w:id="149" w:name="_Toc330342813"/>
      <w:bookmarkStart w:id="150" w:name="_Toc343510616"/>
      <w:bookmarkStart w:id="151" w:name="_Toc361242555"/>
      <w:bookmarkStart w:id="152" w:name="_Toc769"/>
      <w:bookmarkStart w:id="153" w:name="_Toc431929799"/>
      <w:bookmarkStart w:id="154" w:name="_Toc349568737"/>
      <w:r>
        <w:rPr>
          <w:rFonts w:hint="eastAsia" w:ascii="宋体" w:hAnsi="宋体" w:eastAsia="宋体" w:cs="宋体"/>
          <w:color w:val="auto"/>
          <w:sz w:val="28"/>
          <w:szCs w:val="28"/>
          <w:highlight w:val="none"/>
        </w:rPr>
        <w:br w:type="page"/>
      </w:r>
    </w:p>
    <w:p>
      <w:pPr>
        <w:pStyle w:val="6"/>
        <w:spacing w:line="360" w:lineRule="auto"/>
        <w:rPr>
          <w:rFonts w:hint="eastAsia" w:ascii="宋体" w:hAnsi="宋体" w:eastAsia="宋体" w:cs="宋体"/>
          <w:color w:val="auto"/>
          <w:sz w:val="28"/>
          <w:szCs w:val="28"/>
          <w:highlight w:val="none"/>
        </w:rPr>
      </w:pPr>
      <w:bookmarkStart w:id="155" w:name="_Toc12942"/>
      <w:r>
        <w:rPr>
          <w:rFonts w:hint="eastAsia" w:ascii="宋体" w:hAnsi="宋体" w:eastAsia="宋体" w:cs="宋体"/>
          <w:color w:val="auto"/>
          <w:sz w:val="28"/>
          <w:szCs w:val="28"/>
          <w:highlight w:val="none"/>
        </w:rPr>
        <w:t>2、投标函附录格式</w:t>
      </w:r>
      <w:bookmarkEnd w:id="155"/>
    </w:p>
    <w:p>
      <w:pPr>
        <w:spacing w:line="360" w:lineRule="auto"/>
        <w:jc w:val="center"/>
        <w:rPr>
          <w:rFonts w:hint="eastAsia" w:ascii="宋体" w:hAnsi="宋体" w:eastAsia="宋体" w:cs="宋体"/>
          <w:b/>
          <w:color w:val="auto"/>
          <w:sz w:val="42"/>
          <w:highlight w:val="none"/>
        </w:rPr>
      </w:pPr>
      <w:r>
        <w:rPr>
          <w:rFonts w:hint="eastAsia" w:ascii="宋体" w:hAnsi="宋体" w:eastAsia="宋体" w:cs="宋体"/>
          <w:b/>
          <w:color w:val="auto"/>
          <w:sz w:val="42"/>
          <w:highlight w:val="none"/>
        </w:rPr>
        <w:t>投 标 函 附 录</w:t>
      </w:r>
    </w:p>
    <w:tbl>
      <w:tblPr>
        <w:tblStyle w:val="2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545"/>
        <w:gridCol w:w="4253"/>
        <w:gridCol w:w="1776"/>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 号</w:t>
            </w:r>
          </w:p>
        </w:tc>
        <w:tc>
          <w:tcPr>
            <w:tcW w:w="1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条款内容</w:t>
            </w:r>
          </w:p>
        </w:tc>
        <w:tc>
          <w:tcPr>
            <w:tcW w:w="4253"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招标人约定内容</w:t>
            </w:r>
          </w:p>
        </w:tc>
        <w:tc>
          <w:tcPr>
            <w:tcW w:w="17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投标人承诺</w:t>
            </w:r>
          </w:p>
        </w:tc>
        <w:tc>
          <w:tcPr>
            <w:tcW w:w="96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29"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45" w:type="dxa"/>
            <w:vAlign w:val="center"/>
          </w:tcPr>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szCs w:val="24"/>
                <w:highlight w:val="none"/>
                <w:lang w:eastAsia="zh-CN"/>
              </w:rPr>
              <w:t>服务地点</w:t>
            </w:r>
          </w:p>
        </w:tc>
        <w:tc>
          <w:tcPr>
            <w:tcW w:w="4253" w:type="dxa"/>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tc>
        <w:tc>
          <w:tcPr>
            <w:tcW w:w="1776" w:type="dxa"/>
            <w:vAlign w:val="center"/>
          </w:tcPr>
          <w:p>
            <w:pPr>
              <w:spacing w:line="360" w:lineRule="auto"/>
              <w:jc w:val="center"/>
              <w:rPr>
                <w:rFonts w:hint="eastAsia" w:ascii="宋体" w:hAnsi="宋体" w:eastAsia="宋体" w:cs="宋体"/>
                <w:color w:val="auto"/>
                <w:sz w:val="24"/>
                <w:highlight w:val="none"/>
              </w:rPr>
            </w:pPr>
          </w:p>
        </w:tc>
        <w:tc>
          <w:tcPr>
            <w:tcW w:w="965"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45" w:type="dxa"/>
            <w:vAlign w:val="center"/>
          </w:tcPr>
          <w:p>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服务期限</w:t>
            </w:r>
          </w:p>
        </w:tc>
        <w:tc>
          <w:tcPr>
            <w:tcW w:w="4253" w:type="dxa"/>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自合同签订之日起30日内完成相关工作。</w:t>
            </w:r>
          </w:p>
        </w:tc>
        <w:tc>
          <w:tcPr>
            <w:tcW w:w="1776" w:type="dxa"/>
            <w:vAlign w:val="center"/>
          </w:tcPr>
          <w:p>
            <w:pPr>
              <w:spacing w:line="360" w:lineRule="auto"/>
              <w:jc w:val="center"/>
              <w:rPr>
                <w:rFonts w:hint="eastAsia" w:ascii="宋体" w:hAnsi="宋体" w:eastAsia="宋体" w:cs="宋体"/>
                <w:color w:val="auto"/>
                <w:sz w:val="24"/>
                <w:highlight w:val="none"/>
              </w:rPr>
            </w:pPr>
          </w:p>
        </w:tc>
        <w:tc>
          <w:tcPr>
            <w:tcW w:w="965"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45" w:type="dxa"/>
            <w:vAlign w:val="center"/>
          </w:tcPr>
          <w:p>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质量要求</w:t>
            </w:r>
          </w:p>
        </w:tc>
        <w:tc>
          <w:tcPr>
            <w:tcW w:w="4253" w:type="dxa"/>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en-US" w:eastAsia="zh-CN"/>
              </w:rPr>
              <w:t>合格，文件满足国内报批的要求。</w:t>
            </w:r>
          </w:p>
        </w:tc>
        <w:tc>
          <w:tcPr>
            <w:tcW w:w="1776" w:type="dxa"/>
            <w:vAlign w:val="center"/>
          </w:tcPr>
          <w:p>
            <w:pPr>
              <w:spacing w:line="360" w:lineRule="auto"/>
              <w:jc w:val="center"/>
              <w:rPr>
                <w:rFonts w:hint="eastAsia" w:ascii="宋体" w:hAnsi="宋体" w:eastAsia="宋体" w:cs="宋体"/>
                <w:color w:val="auto"/>
                <w:sz w:val="24"/>
                <w:highlight w:val="none"/>
              </w:rPr>
            </w:pPr>
          </w:p>
        </w:tc>
        <w:tc>
          <w:tcPr>
            <w:tcW w:w="965" w:type="dxa"/>
            <w:vAlign w:val="center"/>
          </w:tcPr>
          <w:p>
            <w:pPr>
              <w:spacing w:line="360" w:lineRule="auto"/>
              <w:jc w:val="center"/>
              <w:rPr>
                <w:rFonts w:hint="eastAsia" w:ascii="宋体" w:hAnsi="宋体" w:eastAsia="宋体" w:cs="宋体"/>
                <w:color w:val="auto"/>
                <w:sz w:val="24"/>
                <w:highlight w:val="none"/>
              </w:rPr>
            </w:pPr>
          </w:p>
        </w:tc>
      </w:tr>
    </w:tbl>
    <w:p>
      <w:pPr>
        <w:spacing w:line="360" w:lineRule="auto"/>
        <w:ind w:firstLine="510"/>
        <w:rPr>
          <w:rFonts w:hint="eastAsia" w:ascii="宋体" w:hAnsi="宋体" w:eastAsia="宋体" w:cs="宋体"/>
          <w:color w:val="auto"/>
          <w:highlight w:val="none"/>
        </w:rPr>
      </w:pPr>
    </w:p>
    <w:p>
      <w:pPr>
        <w:spacing w:line="360" w:lineRule="auto"/>
        <w:ind w:firstLine="510"/>
        <w:rPr>
          <w:rFonts w:hint="eastAsia" w:ascii="宋体" w:hAnsi="宋体" w:eastAsia="宋体" w:cs="宋体"/>
          <w:color w:val="auto"/>
          <w:highlight w:val="none"/>
        </w:rPr>
      </w:pPr>
    </w:p>
    <w:p>
      <w:pPr>
        <w:spacing w:line="360" w:lineRule="auto"/>
        <w:ind w:firstLine="510"/>
        <w:rPr>
          <w:rFonts w:hint="eastAsia" w:ascii="宋体" w:hAnsi="宋体" w:eastAsia="宋体" w:cs="宋体"/>
          <w:color w:val="auto"/>
          <w:highlight w:val="none"/>
        </w:rPr>
      </w:pP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投标人全称（盖公章）：________________________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法定代表人或授权委托代理人（签字或盖章）：__________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日期：_______年____月_____日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113"/>
    <w:bookmarkEnd w:id="114"/>
    <w:bookmarkEnd w:id="115"/>
    <w:bookmarkEnd w:id="116"/>
    <w:bookmarkEnd w:id="117"/>
    <w:bookmarkEnd w:id="118"/>
    <w:bookmarkEnd w:id="119"/>
    <w:bookmarkEnd w:id="120"/>
    <w:bookmarkEnd w:id="121"/>
    <w:bookmarkEnd w:id="122"/>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Pr>
        <w:pStyle w:val="6"/>
        <w:spacing w:line="360" w:lineRule="auto"/>
        <w:jc w:val="center"/>
        <w:rPr>
          <w:rFonts w:hint="eastAsia" w:ascii="宋体" w:hAnsi="宋体" w:eastAsia="宋体" w:cs="宋体"/>
          <w:color w:val="auto"/>
          <w:sz w:val="24"/>
          <w:szCs w:val="20"/>
          <w:highlight w:val="none"/>
        </w:rPr>
      </w:pPr>
      <w:bookmarkStart w:id="156" w:name="_Toc15703"/>
      <w:bookmarkStart w:id="157" w:name="_Toc8914"/>
      <w:bookmarkStart w:id="158" w:name="_Toc349914551"/>
      <w:bookmarkStart w:id="159" w:name="_Toc330342823"/>
      <w:bookmarkStart w:id="160" w:name="_Toc25856"/>
      <w:bookmarkStart w:id="161" w:name="_Toc349568751"/>
      <w:bookmarkStart w:id="162" w:name="_Toc343510626"/>
      <w:bookmarkStart w:id="163" w:name="_Toc344394227"/>
      <w:bookmarkStart w:id="164" w:name="_Toc350516690"/>
      <w:bookmarkStart w:id="165" w:name="_Toc344397393"/>
      <w:bookmarkStart w:id="166" w:name="_Toc59"/>
      <w:bookmarkStart w:id="167" w:name="_Toc369353514"/>
      <w:bookmarkStart w:id="168" w:name="_Toc350515676"/>
      <w:bookmarkStart w:id="169" w:name="_Toc48995851"/>
      <w:bookmarkStart w:id="170" w:name="_Toc47418938"/>
      <w:bookmarkStart w:id="171" w:name="_Toc47261885"/>
      <w:bookmarkStart w:id="172" w:name="_Toc47418255"/>
      <w:bookmarkStart w:id="173" w:name="_Toc47418731"/>
      <w:bookmarkStart w:id="174" w:name="_Toc48791235"/>
      <w:bookmarkStart w:id="175" w:name="_Toc49019236"/>
      <w:bookmarkStart w:id="176" w:name="_Toc47262069"/>
      <w:bookmarkStart w:id="177" w:name="_Toc47261690"/>
      <w:bookmarkStart w:id="178" w:name="_Toc198021519"/>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二</w:t>
      </w:r>
      <w:r>
        <w:rPr>
          <w:rFonts w:hint="eastAsia" w:ascii="宋体" w:hAnsi="宋体" w:eastAsia="宋体" w:cs="宋体"/>
          <w:bCs w:val="0"/>
          <w:color w:val="auto"/>
          <w:highlight w:val="none"/>
        </w:rPr>
        <w:t>部分 资格审查部分</w:t>
      </w:r>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6"/>
        <w:spacing w:line="360" w:lineRule="auto"/>
        <w:rPr>
          <w:rFonts w:hint="eastAsia" w:ascii="宋体" w:hAnsi="宋体" w:eastAsia="宋体" w:cs="宋体"/>
          <w:color w:val="auto"/>
          <w:sz w:val="28"/>
          <w:szCs w:val="28"/>
          <w:highlight w:val="none"/>
        </w:rPr>
      </w:pPr>
      <w:bookmarkStart w:id="179" w:name="_Toc16181"/>
      <w:bookmarkStart w:id="180" w:name="_Toc349568753"/>
      <w:bookmarkStart w:id="181" w:name="_Toc344397395"/>
      <w:bookmarkStart w:id="182" w:name="_Toc24996"/>
      <w:bookmarkStart w:id="183" w:name="_Toc369353516"/>
      <w:bookmarkStart w:id="184" w:name="_Toc350515678"/>
      <w:bookmarkStart w:id="185" w:name="_Toc13827"/>
      <w:bookmarkStart w:id="186" w:name="_Toc330342574"/>
      <w:bookmarkStart w:id="187" w:name="_Toc330342825"/>
      <w:bookmarkStart w:id="188" w:name="_Toc344394229"/>
      <w:bookmarkStart w:id="189" w:name="_Toc343510628"/>
      <w:bookmarkStart w:id="190" w:name="_Toc10088"/>
      <w:bookmarkStart w:id="191" w:name="_Toc350516692"/>
      <w:bookmarkStart w:id="192" w:name="_Toc349914553"/>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w:t>
      </w:r>
      <w:bookmarkStart w:id="193" w:name="_Toc255161212"/>
      <w:bookmarkStart w:id="194" w:name="_Toc256765556"/>
      <w:bookmarkStart w:id="195" w:name="_Toc255559500"/>
      <w:bookmarkStart w:id="196" w:name="_Toc296292781"/>
      <w:r>
        <w:rPr>
          <w:rFonts w:hint="eastAsia" w:ascii="宋体" w:hAnsi="宋体" w:eastAsia="宋体" w:cs="宋体"/>
          <w:color w:val="auto"/>
          <w:sz w:val="28"/>
          <w:szCs w:val="28"/>
          <w:highlight w:val="none"/>
        </w:rPr>
        <w:t>投标人一般情况</w:t>
      </w:r>
      <w:bookmarkEnd w:id="193"/>
      <w:bookmarkEnd w:id="194"/>
      <w:bookmarkEnd w:id="195"/>
      <w:bookmarkEnd w:id="196"/>
      <w:r>
        <w:rPr>
          <w:rFonts w:hint="eastAsia" w:ascii="宋体" w:hAnsi="宋体" w:eastAsia="宋体" w:cs="宋体"/>
          <w:color w:val="auto"/>
          <w:sz w:val="28"/>
          <w:szCs w:val="28"/>
          <w:highlight w:val="none"/>
        </w:rPr>
        <w:t>（格式）</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sz w:val="28"/>
          <w:szCs w:val="28"/>
          <w:highlight w:val="none"/>
        </w:rPr>
        <w:t>投标人一般情况</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4233"/>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注册</w:t>
            </w:r>
            <w:r>
              <w:rPr>
                <w:rFonts w:hint="eastAsia" w:ascii="宋体" w:hAnsi="宋体" w:eastAsia="宋体" w:cs="宋体"/>
                <w:color w:val="auto"/>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注册年份（请附营业执照复印件）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公司有关证书            （请附有关证书的复印件）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公司（是否通过，何种） 质量保证体系认证（如通过请附相关证书复印件，并提供认证机构年审监督报告（如有时）。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主营范围</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其他要求说明的情况</w:t>
            </w:r>
          </w:p>
        </w:tc>
      </w:tr>
    </w:tbl>
    <w:p>
      <w:pPr>
        <w:spacing w:line="360" w:lineRule="auto"/>
        <w:rPr>
          <w:rFonts w:hint="eastAsia" w:ascii="宋体" w:hAnsi="宋体" w:eastAsia="宋体" w:cs="宋体"/>
          <w:b/>
          <w:color w:val="auto"/>
          <w:kern w:val="0"/>
          <w:szCs w:val="21"/>
          <w:highlight w:val="none"/>
          <w:lang w:val="en-US" w:eastAsia="zh-CN"/>
        </w:rPr>
      </w:pPr>
      <w:r>
        <w:rPr>
          <w:rFonts w:hint="eastAsia" w:ascii="宋体" w:hAnsi="宋体" w:eastAsia="宋体" w:cs="宋体"/>
          <w:color w:val="auto"/>
          <w:sz w:val="24"/>
          <w:highlight w:val="none"/>
        </w:rPr>
        <w:t>附：</w:t>
      </w:r>
      <w:r>
        <w:rPr>
          <w:rFonts w:hint="eastAsia" w:ascii="宋体" w:hAnsi="宋体" w:eastAsia="宋体" w:cs="宋体"/>
          <w:b/>
          <w:color w:val="auto"/>
          <w:kern w:val="0"/>
          <w:szCs w:val="21"/>
          <w:highlight w:val="none"/>
        </w:rPr>
        <w:t>附企业营业执照、组织机构代码证、税务登记证（已登记办理“三证合一”的企业仅须提供印有统一社会信用代码的营业执照）或个体经营者营业执照</w:t>
      </w:r>
      <w:r>
        <w:rPr>
          <w:rFonts w:hint="eastAsia" w:ascii="宋体" w:hAnsi="宋体" w:eastAsia="宋体" w:cs="宋体"/>
          <w:b/>
          <w:color w:val="auto"/>
          <w:kern w:val="0"/>
          <w:szCs w:val="21"/>
          <w:highlight w:val="none"/>
          <w:lang w:val="en-US" w:eastAsia="zh-CN"/>
        </w:rPr>
        <w:t>及</w:t>
      </w:r>
      <w:r>
        <w:rPr>
          <w:rFonts w:hint="eastAsia" w:ascii="宋体" w:hAnsi="宋体" w:eastAsia="宋体" w:cs="宋体"/>
          <w:b/>
          <w:color w:val="auto"/>
          <w:kern w:val="0"/>
          <w:szCs w:val="21"/>
          <w:highlight w:val="none"/>
        </w:rPr>
        <w:t>全国投资项目在线审批监管平台工程咨询单位名录中相关专业查询备案截图</w:t>
      </w:r>
    </w:p>
    <w:p>
      <w:pPr>
        <w:autoSpaceDE w:val="0"/>
        <w:autoSpaceDN w:val="0"/>
        <w:adjustRightIn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投标人(盖公章)：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法定代表人或授权委托人(签字或盖章)：</w:t>
      </w:r>
      <w:r>
        <w:rPr>
          <w:rFonts w:hint="eastAsia" w:ascii="宋体" w:hAnsi="宋体" w:eastAsia="宋体" w:cs="宋体"/>
          <w:color w:val="auto"/>
          <w:kern w:val="0"/>
          <w:sz w:val="24"/>
          <w:highlight w:val="none"/>
          <w:u w:val="single"/>
          <w:lang w:val="zh-CN"/>
        </w:rPr>
        <w:t xml:space="preserve">                          </w:t>
      </w:r>
    </w:p>
    <w:p>
      <w:pPr>
        <w:pStyle w:val="15"/>
        <w:ind w:firstLine="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      年   月   日</w:t>
      </w:r>
      <w:bookmarkStart w:id="197" w:name="_Toc369353518"/>
      <w:bookmarkStart w:id="198" w:name="_Toc29165"/>
      <w:bookmarkStart w:id="199" w:name="_Toc349568755"/>
      <w:bookmarkStart w:id="200" w:name="_Toc343510630"/>
      <w:bookmarkStart w:id="201" w:name="_Toc330342827"/>
      <w:bookmarkStart w:id="202" w:name="_Toc344397397"/>
      <w:bookmarkStart w:id="203" w:name="_Toc27209"/>
      <w:bookmarkStart w:id="204" w:name="_Toc29778"/>
      <w:bookmarkStart w:id="205" w:name="_Toc344394231"/>
      <w:bookmarkStart w:id="206" w:name="_Toc350515680"/>
      <w:bookmarkStart w:id="207" w:name="_Toc350516694"/>
      <w:bookmarkStart w:id="208" w:name="_Toc330342576"/>
      <w:bookmarkStart w:id="209" w:name="_Toc349914555"/>
    </w:p>
    <w:p>
      <w:pPr>
        <w:pStyle w:val="15"/>
        <w:ind w:firstLine="0"/>
        <w:rPr>
          <w:rFonts w:hint="eastAsia" w:ascii="宋体" w:hAnsi="宋体" w:eastAsia="宋体" w:cs="宋体"/>
          <w:color w:val="auto"/>
          <w:highlight w:val="none"/>
          <w:lang w:val="zh-CN"/>
        </w:rPr>
      </w:pPr>
    </w:p>
    <w:p>
      <w:pPr>
        <w:pStyle w:val="15"/>
        <w:ind w:firstLine="0"/>
        <w:rPr>
          <w:rFonts w:hint="eastAsia" w:ascii="宋体" w:hAnsi="宋体" w:eastAsia="宋体" w:cs="宋体"/>
          <w:color w:val="auto"/>
          <w:highlight w:val="none"/>
          <w:lang w:val="zh-CN"/>
        </w:rPr>
      </w:pPr>
    </w:p>
    <w:bookmarkEnd w:id="197"/>
    <w:bookmarkEnd w:id="198"/>
    <w:bookmarkEnd w:id="199"/>
    <w:bookmarkEnd w:id="200"/>
    <w:bookmarkEnd w:id="201"/>
    <w:bookmarkEnd w:id="202"/>
    <w:bookmarkEnd w:id="203"/>
    <w:bookmarkEnd w:id="204"/>
    <w:bookmarkEnd w:id="205"/>
    <w:bookmarkEnd w:id="206"/>
    <w:bookmarkEnd w:id="207"/>
    <w:bookmarkEnd w:id="208"/>
    <w:bookmarkEnd w:id="209"/>
    <w:p>
      <w:pPr>
        <w:autoSpaceDE w:val="0"/>
        <w:autoSpaceDN w:val="0"/>
        <w:adjustRightInd w:val="0"/>
        <w:spacing w:line="360" w:lineRule="auto"/>
        <w:rPr>
          <w:rFonts w:hint="eastAsia" w:ascii="宋体" w:hAnsi="宋体" w:eastAsia="宋体" w:cs="宋体"/>
          <w:color w:val="auto"/>
          <w:kern w:val="0"/>
          <w:sz w:val="24"/>
          <w:highlight w:val="none"/>
          <w:u w:val="single"/>
          <w:lang w:val="zh-CN"/>
        </w:rPr>
      </w:pPr>
    </w:p>
    <w:p>
      <w:pPr>
        <w:autoSpaceDE w:val="0"/>
        <w:autoSpaceDN w:val="0"/>
        <w:adjustRightInd w:val="0"/>
        <w:spacing w:line="360" w:lineRule="auto"/>
        <w:rPr>
          <w:rFonts w:hint="eastAsia" w:ascii="宋体" w:hAnsi="宋体" w:eastAsia="宋体" w:cs="宋体"/>
          <w:color w:val="auto"/>
          <w:kern w:val="0"/>
          <w:sz w:val="24"/>
          <w:highlight w:val="none"/>
          <w:lang w:val="zh-CN"/>
        </w:rPr>
        <w:sectPr>
          <w:headerReference r:id="rId12" w:type="default"/>
          <w:footerReference r:id="rId13" w:type="default"/>
          <w:pgSz w:w="11906" w:h="16838"/>
          <w:pgMar w:top="1134" w:right="1134" w:bottom="993" w:left="1134" w:header="454" w:footer="454" w:gutter="0"/>
          <w:cols w:space="720" w:num="1"/>
          <w:docGrid w:linePitch="312" w:charSpace="0"/>
        </w:sectPr>
      </w:pPr>
    </w:p>
    <w:p>
      <w:pPr>
        <w:pStyle w:val="6"/>
        <w:spacing w:line="360" w:lineRule="auto"/>
        <w:rPr>
          <w:rFonts w:hint="eastAsia" w:ascii="宋体" w:hAnsi="宋体" w:eastAsia="宋体" w:cs="宋体"/>
          <w:b w:val="0"/>
          <w:bCs w:val="0"/>
          <w:color w:val="auto"/>
          <w:sz w:val="28"/>
          <w:highlight w:val="none"/>
        </w:rPr>
      </w:pPr>
      <w:bookmarkStart w:id="210" w:name="_Toc349568758"/>
      <w:bookmarkStart w:id="211" w:name="_Toc350515683"/>
      <w:bookmarkStart w:id="212" w:name="_Toc12848"/>
      <w:bookmarkStart w:id="213" w:name="_Toc344397400"/>
      <w:bookmarkStart w:id="214" w:name="_Toc350516697"/>
      <w:bookmarkStart w:id="215" w:name="_Toc31473"/>
      <w:bookmarkStart w:id="216" w:name="_Toc330342580"/>
      <w:bookmarkStart w:id="217" w:name="_Toc369353521"/>
      <w:bookmarkStart w:id="218" w:name="_Toc4660"/>
      <w:bookmarkStart w:id="219" w:name="_Toc344394234"/>
      <w:bookmarkStart w:id="220" w:name="_Toc330342831"/>
      <w:bookmarkStart w:id="221" w:name="_Toc19970"/>
      <w:bookmarkStart w:id="222" w:name="_Toc343510633"/>
      <w:bookmarkStart w:id="223" w:name="_Toc349914558"/>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、法定代表人身份证明书</w:t>
      </w:r>
      <w:r>
        <w:rPr>
          <w:rFonts w:hint="eastAsia" w:ascii="宋体" w:hAnsi="宋体" w:eastAsia="宋体" w:cs="宋体"/>
          <w:bCs w:val="0"/>
          <w:color w:val="auto"/>
          <w:sz w:val="28"/>
          <w:szCs w:val="28"/>
          <w:highlight w:val="none"/>
        </w:rPr>
        <w:t>（格式）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spacing w:before="240" w:line="360" w:lineRule="auto"/>
        <w:jc w:val="center"/>
        <w:rPr>
          <w:rFonts w:hint="eastAsia" w:ascii="宋体" w:hAnsi="宋体" w:eastAsia="宋体" w:cs="宋体"/>
          <w:b/>
          <w:color w:val="auto"/>
          <w:kern w:val="0"/>
          <w:sz w:val="28"/>
          <w:highlight w:val="none"/>
        </w:rPr>
      </w:pPr>
      <w:r>
        <w:rPr>
          <w:rFonts w:hint="eastAsia" w:ascii="宋体" w:hAnsi="宋体" w:eastAsia="宋体" w:cs="宋体"/>
          <w:b/>
          <w:bCs/>
          <w:color w:val="auto"/>
          <w:sz w:val="28"/>
          <w:szCs w:val="32"/>
          <w:highlight w:val="none"/>
        </w:rPr>
        <w:t>法定代表人身份证明书</w:t>
      </w:r>
    </w:p>
    <w:p>
      <w:pPr>
        <w:autoSpaceDE w:val="0"/>
        <w:autoSpaceDN w:val="0"/>
        <w:adjustRightInd w:val="0"/>
        <w:spacing w:before="240" w:line="360" w:lineRule="auto"/>
        <w:jc w:val="center"/>
        <w:rPr>
          <w:rFonts w:hint="eastAsia" w:ascii="宋体" w:hAnsi="宋体" w:eastAsia="宋体" w:cs="宋体"/>
          <w:color w:val="auto"/>
          <w:spacing w:val="6"/>
          <w:kern w:val="0"/>
          <w:sz w:val="26"/>
          <w:highlight w:val="none"/>
        </w:rPr>
      </w:pP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单位名称：</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单位性质：</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地    址：</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成立时间：</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经营期限：</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姓名：</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性别：</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年龄：</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职务：</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系</w:t>
      </w:r>
      <w:r>
        <w:rPr>
          <w:rFonts w:hint="eastAsia" w:ascii="宋体" w:hAnsi="宋体" w:eastAsia="宋体" w:cs="宋体"/>
          <w:bCs/>
          <w:color w:val="auto"/>
          <w:sz w:val="28"/>
          <w:szCs w:val="32"/>
          <w:highlight w:val="none"/>
          <w:u w:val="single"/>
        </w:rPr>
        <w:t xml:space="preserve">        （投标人单位名称）         </w:t>
      </w:r>
      <w:r>
        <w:rPr>
          <w:rFonts w:hint="eastAsia" w:ascii="宋体" w:hAnsi="宋体" w:eastAsia="宋体" w:cs="宋体"/>
          <w:bCs/>
          <w:color w:val="auto"/>
          <w:sz w:val="28"/>
          <w:szCs w:val="32"/>
          <w:highlight w:val="none"/>
        </w:rPr>
        <w:t>的法定代表人。</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特此证明。</w:t>
      </w:r>
    </w:p>
    <w:p>
      <w:pPr>
        <w:spacing w:line="360" w:lineRule="auto"/>
        <w:ind w:right="600"/>
        <w:jc w:val="left"/>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 xml:space="preserve">                                      投标人：</w:t>
      </w:r>
      <w:r>
        <w:rPr>
          <w:rFonts w:hint="eastAsia" w:ascii="宋体" w:hAnsi="宋体" w:eastAsia="宋体" w:cs="宋体"/>
          <w:bCs/>
          <w:color w:val="auto"/>
          <w:sz w:val="28"/>
          <w:szCs w:val="32"/>
          <w:highlight w:val="none"/>
          <w:u w:val="single"/>
        </w:rPr>
        <w:t xml:space="preserve">（盖公章）              </w:t>
      </w:r>
    </w:p>
    <w:p>
      <w:pPr>
        <w:spacing w:line="360" w:lineRule="auto"/>
        <w:ind w:right="600"/>
        <w:jc w:val="center"/>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 xml:space="preserve">                                  日期：  年    月     日</w:t>
      </w:r>
    </w:p>
    <w:p>
      <w:pPr>
        <w:spacing w:line="360" w:lineRule="auto"/>
        <w:ind w:right="600"/>
        <w:jc w:val="center"/>
        <w:rPr>
          <w:rFonts w:hint="eastAsia" w:ascii="宋体" w:hAnsi="宋体" w:eastAsia="宋体" w:cs="宋体"/>
          <w:bCs/>
          <w:color w:val="auto"/>
          <w:sz w:val="28"/>
          <w:szCs w:val="32"/>
          <w:highlight w:val="none"/>
        </w:rPr>
      </w:pPr>
    </w:p>
    <w:p>
      <w:pPr>
        <w:spacing w:line="360" w:lineRule="auto"/>
        <w:ind w:right="600"/>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备注:附法定代表人身份证复印件（正、反面）</w:t>
      </w:r>
    </w:p>
    <w:p>
      <w:pPr>
        <w:pStyle w:val="6"/>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224" w:name="_Toc5113"/>
      <w:bookmarkStart w:id="225" w:name="_Toc350516698"/>
      <w:bookmarkStart w:id="226" w:name="_Toc330342581"/>
      <w:bookmarkStart w:id="227" w:name="_Toc344394235"/>
      <w:bookmarkStart w:id="228" w:name="_Toc350515684"/>
      <w:bookmarkStart w:id="229" w:name="_Toc8017"/>
      <w:bookmarkStart w:id="230" w:name="_Toc16122"/>
      <w:bookmarkStart w:id="231" w:name="_Toc344397401"/>
      <w:bookmarkStart w:id="232" w:name="_Toc349914559"/>
      <w:bookmarkStart w:id="233" w:name="_Toc349568759"/>
      <w:bookmarkStart w:id="234" w:name="_Toc369353522"/>
      <w:bookmarkStart w:id="235" w:name="_Toc330342832"/>
      <w:bookmarkStart w:id="236" w:name="_Toc343510634"/>
      <w:bookmarkStart w:id="237" w:name="_Toc4513"/>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、法定代表人授权书</w:t>
      </w:r>
      <w:bookmarkEnd w:id="169"/>
      <w:bookmarkEnd w:id="170"/>
      <w:bookmarkEnd w:id="171"/>
      <w:bookmarkEnd w:id="172"/>
      <w:bookmarkEnd w:id="173"/>
      <w:bookmarkEnd w:id="174"/>
      <w:bookmarkEnd w:id="175"/>
      <w:bookmarkEnd w:id="176"/>
      <w:bookmarkEnd w:id="177"/>
      <w:bookmarkEnd w:id="178"/>
      <w:r>
        <w:rPr>
          <w:rFonts w:hint="eastAsia" w:ascii="宋体" w:hAnsi="宋体" w:eastAsia="宋体" w:cs="宋体"/>
          <w:bCs w:val="0"/>
          <w:color w:val="auto"/>
          <w:sz w:val="28"/>
          <w:szCs w:val="28"/>
          <w:highlight w:val="none"/>
        </w:rPr>
        <w:t>（格式）</w:t>
      </w:r>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ascii="宋体" w:hAnsi="宋体" w:eastAsia="宋体" w:cs="宋体"/>
          <w:bCs w:val="0"/>
          <w:color w:val="auto"/>
          <w:sz w:val="28"/>
          <w:szCs w:val="28"/>
          <w:highlight w:val="none"/>
        </w:rPr>
        <w:t>（如法定代表人投标不需此项）</w:t>
      </w:r>
      <w:bookmarkEnd w:id="237"/>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法定代表人授权书</w:t>
      </w:r>
    </w:p>
    <w:p>
      <w:pPr>
        <w:spacing w:line="360" w:lineRule="auto"/>
        <w:rPr>
          <w:rFonts w:hint="eastAsia" w:ascii="宋体" w:hAnsi="宋体" w:eastAsia="宋体" w:cs="宋体"/>
          <w:color w:val="auto"/>
          <w:sz w:val="24"/>
          <w:szCs w:val="24"/>
          <w:highlight w:val="none"/>
        </w:rPr>
      </w:pPr>
    </w:p>
    <w:p>
      <w:pPr>
        <w:spacing w:line="360" w:lineRule="auto"/>
        <w:ind w:right="142" w:firstLine="560" w:firstLineChars="200"/>
        <w:rPr>
          <w:rFonts w:hint="eastAsia" w:ascii="宋体" w:hAnsi="宋体" w:eastAsia="宋体" w:cs="宋体"/>
          <w:bCs/>
          <w:color w:val="auto"/>
          <w:sz w:val="28"/>
          <w:szCs w:val="32"/>
          <w:highlight w:val="none"/>
        </w:rPr>
      </w:pPr>
      <w:bookmarkStart w:id="238" w:name="_Toc235331336"/>
      <w:bookmarkStart w:id="239" w:name="_Toc247230322"/>
      <w:r>
        <w:rPr>
          <w:rFonts w:hint="eastAsia" w:ascii="宋体" w:hAnsi="宋体" w:eastAsia="宋体" w:cs="宋体"/>
          <w:bCs/>
          <w:color w:val="auto"/>
          <w:sz w:val="28"/>
          <w:szCs w:val="32"/>
          <w:highlight w:val="none"/>
        </w:rPr>
        <w:t>本授权委托书声明，我</w:t>
      </w:r>
      <w:r>
        <w:rPr>
          <w:rFonts w:hint="eastAsia" w:ascii="宋体" w:hAnsi="宋体" w:eastAsia="宋体" w:cs="宋体"/>
          <w:bCs/>
          <w:color w:val="auto"/>
          <w:sz w:val="28"/>
          <w:szCs w:val="32"/>
          <w:highlight w:val="none"/>
          <w:u w:val="single"/>
        </w:rPr>
        <w:t xml:space="preserve">         （姓名）         </w:t>
      </w:r>
      <w:r>
        <w:rPr>
          <w:rFonts w:hint="eastAsia" w:ascii="宋体" w:hAnsi="宋体" w:eastAsia="宋体" w:cs="宋体"/>
          <w:bCs/>
          <w:color w:val="auto"/>
          <w:sz w:val="28"/>
          <w:szCs w:val="32"/>
          <w:highlight w:val="none"/>
        </w:rPr>
        <w:t>系</w:t>
      </w:r>
      <w:r>
        <w:rPr>
          <w:rFonts w:hint="eastAsia" w:ascii="宋体" w:hAnsi="宋体" w:eastAsia="宋体" w:cs="宋体"/>
          <w:bCs/>
          <w:color w:val="auto"/>
          <w:sz w:val="28"/>
          <w:szCs w:val="32"/>
          <w:highlight w:val="none"/>
          <w:u w:val="single"/>
        </w:rPr>
        <w:t xml:space="preserve">        （投标人名称）            </w:t>
      </w:r>
      <w:r>
        <w:rPr>
          <w:rFonts w:hint="eastAsia" w:ascii="宋体" w:hAnsi="宋体" w:eastAsia="宋体" w:cs="宋体"/>
          <w:bCs/>
          <w:color w:val="auto"/>
          <w:sz w:val="28"/>
          <w:szCs w:val="32"/>
          <w:highlight w:val="none"/>
        </w:rPr>
        <w:t>的法定代表人，现授权委托</w:t>
      </w:r>
      <w:r>
        <w:rPr>
          <w:rFonts w:hint="eastAsia" w:ascii="宋体" w:hAnsi="宋体" w:eastAsia="宋体" w:cs="宋体"/>
          <w:bCs/>
          <w:color w:val="auto"/>
          <w:sz w:val="28"/>
          <w:szCs w:val="32"/>
          <w:highlight w:val="none"/>
          <w:u w:val="single"/>
        </w:rPr>
        <w:t xml:space="preserve">      （姓名）   </w:t>
      </w:r>
      <w:r>
        <w:rPr>
          <w:rFonts w:hint="eastAsia" w:ascii="宋体" w:hAnsi="宋体" w:eastAsia="宋体" w:cs="宋体"/>
          <w:bCs/>
          <w:color w:val="auto"/>
          <w:sz w:val="28"/>
          <w:szCs w:val="32"/>
          <w:highlight w:val="none"/>
        </w:rPr>
        <w:t>为我公司签署</w:t>
      </w:r>
      <w:r>
        <w:rPr>
          <w:rFonts w:hint="eastAsia" w:ascii="宋体" w:hAnsi="宋体" w:eastAsia="宋体" w:cs="宋体"/>
          <w:bCs/>
          <w:color w:val="auto"/>
          <w:sz w:val="28"/>
          <w:szCs w:val="32"/>
          <w:highlight w:val="none"/>
          <w:u w:val="single"/>
        </w:rPr>
        <w:t xml:space="preserve">           （项目名称，招标编号）         </w:t>
      </w:r>
      <w:r>
        <w:rPr>
          <w:rFonts w:hint="eastAsia" w:ascii="宋体" w:hAnsi="宋体" w:eastAsia="宋体" w:cs="宋体"/>
          <w:bCs/>
          <w:color w:val="auto"/>
          <w:sz w:val="28"/>
          <w:szCs w:val="32"/>
          <w:highlight w:val="none"/>
        </w:rPr>
        <w:t>投标的法定代表人授权委托代理人，我承认代理人全权代表我所签署的本项目的文件的内容。</w:t>
      </w:r>
    </w:p>
    <w:p>
      <w:pPr>
        <w:spacing w:line="360" w:lineRule="auto"/>
        <w:ind w:right="142"/>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代理人无转委托权，特此委托。</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代理人：</w:t>
      </w:r>
      <w:r>
        <w:rPr>
          <w:rFonts w:hint="eastAsia" w:ascii="宋体" w:hAnsi="宋体" w:eastAsia="宋体" w:cs="宋体"/>
          <w:bCs/>
          <w:color w:val="auto"/>
          <w:sz w:val="28"/>
          <w:szCs w:val="32"/>
          <w:highlight w:val="none"/>
          <w:u w:val="single"/>
        </w:rPr>
        <w:t xml:space="preserve">  (签字或盖章)          </w:t>
      </w:r>
      <w:r>
        <w:rPr>
          <w:rFonts w:hint="eastAsia" w:ascii="宋体" w:hAnsi="宋体" w:eastAsia="宋体" w:cs="宋体"/>
          <w:bCs/>
          <w:color w:val="auto"/>
          <w:sz w:val="28"/>
          <w:szCs w:val="32"/>
          <w:highlight w:val="none"/>
        </w:rPr>
        <w:t>性别：</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年龄：</w:t>
      </w:r>
      <w:r>
        <w:rPr>
          <w:rFonts w:hint="eastAsia" w:ascii="宋体" w:hAnsi="宋体" w:eastAsia="宋体" w:cs="宋体"/>
          <w:bCs/>
          <w:color w:val="auto"/>
          <w:sz w:val="28"/>
          <w:szCs w:val="32"/>
          <w:highlight w:val="none"/>
          <w:u w:val="single"/>
        </w:rPr>
        <w:t xml:space="preserve">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身份证号码：</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职务：</w:t>
      </w:r>
      <w:r>
        <w:rPr>
          <w:rFonts w:hint="eastAsia" w:ascii="宋体" w:hAnsi="宋体" w:eastAsia="宋体" w:cs="宋体"/>
          <w:bCs/>
          <w:color w:val="auto"/>
          <w:sz w:val="28"/>
          <w:szCs w:val="32"/>
          <w:highlight w:val="none"/>
          <w:u w:val="single"/>
        </w:rPr>
        <w:t xml:space="preserve">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投标人：</w:t>
      </w:r>
      <w:r>
        <w:rPr>
          <w:rFonts w:hint="eastAsia" w:ascii="宋体" w:hAnsi="宋体" w:eastAsia="宋体" w:cs="宋体"/>
          <w:bCs/>
          <w:color w:val="auto"/>
          <w:sz w:val="28"/>
          <w:szCs w:val="32"/>
          <w:highlight w:val="none"/>
          <w:u w:val="single"/>
        </w:rPr>
        <w:t xml:space="preserve">        （盖公章）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法定代表人：</w:t>
      </w:r>
      <w:r>
        <w:rPr>
          <w:rFonts w:hint="eastAsia" w:ascii="宋体" w:hAnsi="宋体" w:eastAsia="宋体" w:cs="宋体"/>
          <w:bCs/>
          <w:color w:val="auto"/>
          <w:sz w:val="28"/>
          <w:szCs w:val="32"/>
          <w:highlight w:val="none"/>
          <w:u w:val="single"/>
        </w:rPr>
        <w:t xml:space="preserve">    （签字或盖章）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授权委托日期：</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年</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月</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日</w:t>
      </w:r>
    </w:p>
    <w:p>
      <w:pPr>
        <w:spacing w:line="360" w:lineRule="auto"/>
        <w:ind w:right="142"/>
        <w:rPr>
          <w:rFonts w:hint="eastAsia" w:ascii="宋体" w:hAnsi="宋体" w:eastAsia="宋体" w:cs="宋体"/>
          <w:bCs/>
          <w:color w:val="auto"/>
          <w:sz w:val="28"/>
          <w:szCs w:val="32"/>
          <w:highlight w:val="none"/>
        </w:rPr>
      </w:pPr>
    </w:p>
    <w:p>
      <w:pPr>
        <w:spacing w:line="360" w:lineRule="auto"/>
        <w:ind w:right="142"/>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备注:附代理人身份证复印件</w:t>
      </w:r>
      <w:bookmarkEnd w:id="238"/>
      <w:bookmarkEnd w:id="239"/>
      <w:bookmarkStart w:id="240" w:name="_Toc247230326"/>
      <w:r>
        <w:rPr>
          <w:rFonts w:hint="eastAsia" w:ascii="宋体" w:hAnsi="宋体" w:eastAsia="宋体" w:cs="宋体"/>
          <w:bCs/>
          <w:color w:val="auto"/>
          <w:sz w:val="28"/>
          <w:szCs w:val="32"/>
          <w:highlight w:val="none"/>
        </w:rPr>
        <w:t>（正、反面）</w:t>
      </w:r>
    </w:p>
    <w:p>
      <w:pPr>
        <w:rPr>
          <w:rFonts w:hint="eastAsia" w:ascii="宋体" w:hAnsi="宋体" w:eastAsia="宋体" w:cs="宋体"/>
          <w:color w:val="auto"/>
          <w:sz w:val="28"/>
          <w:szCs w:val="28"/>
          <w:highlight w:val="none"/>
        </w:rPr>
      </w:pPr>
      <w:bookmarkStart w:id="241" w:name="_Toc5577"/>
      <w:bookmarkStart w:id="242" w:name="_Toc350515685"/>
      <w:bookmarkStart w:id="243" w:name="_Toc344394236"/>
      <w:bookmarkStart w:id="244" w:name="_Toc15410"/>
      <w:bookmarkStart w:id="245" w:name="_Toc349568760"/>
      <w:bookmarkStart w:id="246" w:name="_Toc369353523"/>
      <w:bookmarkStart w:id="247" w:name="_Toc344397402"/>
      <w:bookmarkStart w:id="248" w:name="_Toc349914564"/>
      <w:bookmarkStart w:id="249" w:name="_Toc330342582"/>
      <w:bookmarkStart w:id="250" w:name="_Toc330342833"/>
      <w:bookmarkStart w:id="251" w:name="_Toc343510635"/>
      <w:bookmarkStart w:id="252" w:name="_Toc350516699"/>
      <w:bookmarkStart w:id="253" w:name="_Toc6655"/>
      <w:r>
        <w:rPr>
          <w:rFonts w:hint="eastAsia" w:ascii="宋体" w:hAnsi="宋体" w:eastAsia="宋体" w:cs="宋体"/>
          <w:color w:val="auto"/>
          <w:sz w:val="28"/>
          <w:szCs w:val="28"/>
          <w:highlight w:val="none"/>
        </w:rPr>
        <w:br w:type="page"/>
      </w:r>
    </w:p>
    <w:p>
      <w:pPr>
        <w:pStyle w:val="6"/>
        <w:bidi w:val="0"/>
        <w:rPr>
          <w:rFonts w:hint="default"/>
          <w:lang w:val="en-US" w:eastAsia="zh-CN"/>
        </w:rPr>
      </w:pPr>
      <w:bookmarkStart w:id="254" w:name="_Toc29066"/>
      <w:r>
        <w:rPr>
          <w:rFonts w:hint="eastAsia"/>
          <w:lang w:val="en-US" w:eastAsia="zh-CN"/>
        </w:rPr>
        <w:t>4、项目负责人</w:t>
      </w:r>
      <w:bookmarkEnd w:id="254"/>
    </w:p>
    <w:p>
      <w:pPr>
        <w:rPr>
          <w:rFonts w:hint="eastAsia" w:ascii="宋体" w:hAnsi="宋体" w:eastAsia="宋体" w:cs="宋体"/>
          <w:color w:val="auto"/>
          <w:highlight w:val="none"/>
        </w:rPr>
      </w:pPr>
    </w:p>
    <w:p>
      <w:pPr>
        <w:pStyle w:val="39"/>
        <w:spacing w:line="400" w:lineRule="exact"/>
        <w:ind w:firstLine="480" w:firstLineChars="200"/>
        <w:rPr>
          <w:rStyle w:val="28"/>
          <w:rFonts w:hint="eastAsia" w:ascii="宋体" w:hAnsi="宋体" w:eastAsia="宋体" w:cs="宋体"/>
          <w:sz w:val="24"/>
          <w:szCs w:val="24"/>
          <w:highlight w:val="none"/>
        </w:rPr>
      </w:pPr>
      <w:r>
        <w:rPr>
          <w:rStyle w:val="28"/>
          <w:rFonts w:hint="eastAsia" w:ascii="宋体" w:hAnsi="宋体" w:eastAsia="宋体" w:cs="宋体"/>
          <w:sz w:val="24"/>
          <w:szCs w:val="24"/>
          <w:highlight w:val="none"/>
        </w:rPr>
        <w:t>项目</w:t>
      </w:r>
      <w:r>
        <w:rPr>
          <w:rStyle w:val="28"/>
          <w:rFonts w:hint="eastAsia" w:ascii="宋体" w:hAnsi="宋体" w:eastAsia="宋体" w:cs="宋体"/>
          <w:sz w:val="24"/>
          <w:szCs w:val="24"/>
          <w:highlight w:val="none"/>
          <w:lang w:val="en-US" w:eastAsia="zh-CN"/>
        </w:rPr>
        <w:t>负责人</w:t>
      </w:r>
      <w:r>
        <w:rPr>
          <w:rStyle w:val="28"/>
          <w:rFonts w:hint="eastAsia" w:ascii="宋体" w:hAnsi="宋体" w:eastAsia="宋体" w:cs="宋体"/>
          <w:sz w:val="24"/>
          <w:szCs w:val="24"/>
          <w:highlight w:val="none"/>
        </w:rPr>
        <w:t>应附身份证、职称证、学历证</w:t>
      </w:r>
      <w:r>
        <w:rPr>
          <w:rStyle w:val="28"/>
          <w:rFonts w:hint="eastAsia" w:ascii="宋体" w:hAnsi="宋体" w:eastAsia="宋体" w:cs="宋体"/>
          <w:sz w:val="24"/>
          <w:szCs w:val="24"/>
          <w:highlight w:val="none"/>
          <w:lang w:val="en-US" w:eastAsia="zh-CN"/>
        </w:rPr>
        <w:t>等</w:t>
      </w:r>
      <w:r>
        <w:rPr>
          <w:rStyle w:val="28"/>
          <w:rFonts w:hint="eastAsia" w:ascii="宋体" w:hAnsi="宋体" w:eastAsia="宋体" w:cs="宋体"/>
          <w:sz w:val="24"/>
          <w:szCs w:val="24"/>
          <w:highlight w:val="none"/>
        </w:rPr>
        <w:t>。</w:t>
      </w:r>
    </w:p>
    <w:p>
      <w:pPr>
        <w:pStyle w:val="39"/>
        <w:spacing w:line="400" w:lineRule="exact"/>
        <w:rPr>
          <w:rStyle w:val="28"/>
          <w:rFonts w:hint="eastAsia" w:ascii="宋体" w:hAnsi="宋体" w:eastAsia="宋体" w:cs="宋体"/>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79"/>
        <w:gridCol w:w="927"/>
        <w:gridCol w:w="1065"/>
        <w:gridCol w:w="1969"/>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姓  名</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学 历</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职  称</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拟在本工程任职</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毕业学校</w:t>
            </w:r>
          </w:p>
        </w:tc>
        <w:tc>
          <w:tcPr>
            <w:tcW w:w="7336" w:type="dxa"/>
            <w:gridSpan w:val="6"/>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时  间</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参加过的类似项目名称</w:t>
            </w: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概况说明</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spacing w:line="360" w:lineRule="auto"/>
        <w:rPr>
          <w:rFonts w:hint="eastAsia" w:ascii="宋体" w:hAnsi="宋体" w:eastAsia="宋体" w:cs="宋体"/>
          <w:color w:val="auto"/>
          <w:sz w:val="28"/>
          <w:szCs w:val="28"/>
          <w:highlight w:val="none"/>
        </w:rPr>
      </w:pPr>
      <w:bookmarkStart w:id="255" w:name="_Toc8435"/>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、投标保证书格式</w:t>
      </w:r>
      <w:bookmarkEnd w:id="255"/>
    </w:p>
    <w:p>
      <w:pPr>
        <w:spacing w:line="360" w:lineRule="auto"/>
        <w:jc w:val="center"/>
        <w:rPr>
          <w:rFonts w:hint="eastAsia" w:ascii="宋体" w:hAnsi="宋体" w:eastAsia="宋体" w:cs="宋体"/>
          <w:b/>
          <w:color w:val="auto"/>
          <w:sz w:val="42"/>
          <w:highlight w:val="none"/>
        </w:rPr>
      </w:pPr>
      <w:r>
        <w:rPr>
          <w:rFonts w:hint="eastAsia" w:ascii="宋体" w:hAnsi="宋体" w:eastAsia="宋体" w:cs="宋体"/>
          <w:b/>
          <w:color w:val="auto"/>
          <w:sz w:val="42"/>
          <w:highlight w:val="none"/>
        </w:rPr>
        <w:t>投 标 保 证 书</w:t>
      </w:r>
    </w:p>
    <w:p>
      <w:pPr>
        <w:spacing w:line="360" w:lineRule="auto"/>
        <w:rPr>
          <w:rFonts w:hint="eastAsia" w:ascii="宋体" w:hAnsi="宋体" w:eastAsia="宋体" w:cs="宋体"/>
          <w:color w:val="auto"/>
          <w:sz w:val="24"/>
          <w:highlight w:val="none"/>
        </w:rPr>
      </w:pPr>
    </w:p>
    <w:p>
      <w:pPr>
        <w:spacing w:after="12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致：</w:t>
      </w:r>
      <w:r>
        <w:rPr>
          <w:rFonts w:hint="eastAsia" w:ascii="宋体" w:hAnsi="宋体" w:eastAsia="宋体" w:cs="宋体"/>
          <w:b/>
          <w:color w:val="auto"/>
          <w:spacing w:val="10"/>
          <w:sz w:val="24"/>
          <w:highlight w:val="none"/>
        </w:rPr>
        <w:t>辽宁国信建设工程管理有限公司</w:t>
      </w:r>
      <w:r>
        <w:rPr>
          <w:rFonts w:hint="eastAsia" w:ascii="宋体" w:hAnsi="宋体" w:eastAsia="宋体" w:cs="宋体"/>
          <w:b/>
          <w:color w:val="auto"/>
          <w:sz w:val="24"/>
          <w:highlight w:val="none"/>
        </w:rPr>
        <w:t>：</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本保证书作为</w:t>
      </w:r>
      <w:r>
        <w:rPr>
          <w:rFonts w:hint="eastAsia" w:ascii="宋体" w:hAnsi="宋体" w:eastAsia="宋体" w:cs="宋体"/>
          <w:color w:val="auto"/>
          <w:sz w:val="24"/>
          <w:highlight w:val="none"/>
          <w:u w:val="single"/>
        </w:rPr>
        <w:t xml:space="preserve">      （投标人）      </w:t>
      </w:r>
      <w:r>
        <w:rPr>
          <w:rFonts w:hint="eastAsia" w:ascii="宋体" w:hAnsi="宋体" w:eastAsia="宋体" w:cs="宋体"/>
          <w:color w:val="auto"/>
          <w:sz w:val="24"/>
          <w:highlight w:val="none"/>
        </w:rPr>
        <w:t>对贵公司“</w:t>
      </w:r>
      <w:r>
        <w:rPr>
          <w:rFonts w:hint="eastAsia" w:ascii="宋体" w:hAnsi="宋体" w:eastAsia="宋体" w:cs="宋体"/>
          <w:color w:val="auto"/>
          <w:sz w:val="24"/>
          <w:highlight w:val="none"/>
          <w:u w:val="single"/>
        </w:rPr>
        <w:t xml:space="preserve"> （项目名称）   （项目编号）  </w:t>
      </w:r>
      <w:r>
        <w:rPr>
          <w:rFonts w:hint="eastAsia" w:ascii="宋体" w:hAnsi="宋体" w:eastAsia="宋体" w:cs="宋体"/>
          <w:color w:val="auto"/>
          <w:sz w:val="24"/>
          <w:highlight w:val="none"/>
        </w:rPr>
        <w:t>” 的提供投标保证金的保证。</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由我单位（公司）提供的</w:t>
      </w:r>
      <w:r>
        <w:rPr>
          <w:rFonts w:hint="eastAsia" w:ascii="宋体" w:hAnsi="宋体" w:eastAsia="宋体" w:cs="宋体"/>
          <w:color w:val="auto"/>
          <w:sz w:val="24"/>
          <w:highlight w:val="none"/>
          <w:u w:val="single"/>
        </w:rPr>
        <w:t xml:space="preserve">     （投标保证金形式）     </w:t>
      </w:r>
      <w:r>
        <w:rPr>
          <w:rFonts w:hint="eastAsia" w:ascii="宋体" w:hAnsi="宋体" w:eastAsia="宋体" w:cs="宋体"/>
          <w:color w:val="auto"/>
          <w:sz w:val="24"/>
          <w:highlight w:val="none"/>
        </w:rPr>
        <w:t>总额为___________________（人民币______________万元）。</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一旦发生下述行为，我单位（公司）将放弃要求退还投标保证金的权利：</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1、从开标日起到投标文件有效期满前，我单位撤回投标；</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2、开标、评标到定标期间发生违反招标文件规定的行为；</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本保证书自开标日起90日历天内有效，除非贵方提前终止或解除本保证书。</w:t>
      </w:r>
    </w:p>
    <w:p>
      <w:pPr>
        <w:spacing w:before="60" w:after="60" w:line="360" w:lineRule="auto"/>
        <w:rPr>
          <w:rFonts w:hint="eastAsia" w:ascii="宋体" w:hAnsi="宋体" w:eastAsia="宋体" w:cs="宋体"/>
          <w:color w:val="auto"/>
          <w:sz w:val="24"/>
          <w:highlight w:val="none"/>
        </w:rPr>
      </w:pPr>
    </w:p>
    <w:p>
      <w:pPr>
        <w:spacing w:before="60" w:after="60" w:line="360" w:lineRule="auto"/>
        <w:rPr>
          <w:rFonts w:hint="eastAsia" w:ascii="宋体" w:hAnsi="宋体" w:eastAsia="宋体" w:cs="宋体"/>
          <w:color w:val="auto"/>
          <w:sz w:val="24"/>
          <w:highlight w:val="none"/>
        </w:rPr>
      </w:pP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投标人全称（盖公章）：________________________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法定代表人或授权委托代理人（签字或盖章）：__________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日期：_______年____月_____日</w:t>
      </w:r>
    </w:p>
    <w:p>
      <w:pPr>
        <w:spacing w:before="60" w:after="60" w:line="360" w:lineRule="auto"/>
        <w:ind w:firstLine="510"/>
        <w:rPr>
          <w:rFonts w:hint="eastAsia" w:ascii="宋体" w:hAnsi="宋体" w:eastAsia="宋体" w:cs="宋体"/>
          <w:color w:val="auto"/>
          <w:highlight w:val="none"/>
        </w:rPr>
      </w:pPr>
    </w:p>
    <w:p>
      <w:pPr>
        <w:pStyle w:val="6"/>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256" w:name="_Toc408756326"/>
      <w:bookmarkStart w:id="257" w:name="_Toc428352860"/>
      <w:bookmarkStart w:id="258" w:name="_Toc421711544"/>
      <w:bookmarkStart w:id="259" w:name="_Toc431929800"/>
      <w:bookmarkStart w:id="260" w:name="_Toc10301"/>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、投标保证金收据复印件</w:t>
      </w:r>
      <w:bookmarkEnd w:id="256"/>
      <w:bookmarkEnd w:id="257"/>
      <w:bookmarkEnd w:id="258"/>
      <w:bookmarkEnd w:id="259"/>
      <w:r>
        <w:rPr>
          <w:rFonts w:hint="eastAsia" w:ascii="宋体" w:hAnsi="宋体" w:eastAsia="宋体" w:cs="宋体"/>
          <w:color w:val="auto"/>
          <w:sz w:val="28"/>
          <w:szCs w:val="28"/>
          <w:highlight w:val="none"/>
        </w:rPr>
        <w:t>或付款凭证</w:t>
      </w:r>
      <w:bookmarkEnd w:id="260"/>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7、投标人不得被列入“失信被执行人”或“失信惩戒对象”或“重大税收违法案件当事人”，以“信用中国”网站（www.creditchina.gov.cn）查询为准。（需在招标公告发布后从“信用中国”网站打印查询结果并加盖公章）</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numPr>
          <w:ilvl w:val="0"/>
          <w:numId w:val="10"/>
        </w:num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投标人告知承诺函</w:t>
      </w:r>
    </w:p>
    <w:p>
      <w:pPr>
        <w:spacing w:line="600" w:lineRule="exact"/>
        <w:jc w:val="center"/>
        <w:rPr>
          <w:rFonts w:hint="eastAsia" w:ascii="宋体" w:hAnsi="宋体" w:eastAsia="宋体" w:cs="宋体"/>
          <w:szCs w:val="32"/>
          <w:highlight w:val="none"/>
        </w:rPr>
      </w:pPr>
      <w:r>
        <w:rPr>
          <w:rFonts w:hint="eastAsia" w:ascii="宋体" w:hAnsi="宋体" w:eastAsia="宋体" w:cs="宋体"/>
          <w:sz w:val="32"/>
          <w:szCs w:val="32"/>
          <w:highlight w:val="none"/>
        </w:rPr>
        <w:t>投标人告知承诺函</w:t>
      </w:r>
    </w:p>
    <w:p>
      <w:pPr>
        <w:spacing w:line="600" w:lineRule="exact"/>
        <w:rPr>
          <w:rFonts w:hint="eastAsia" w:ascii="宋体" w:hAnsi="宋体" w:eastAsia="宋体" w:cs="宋体"/>
          <w:sz w:val="30"/>
          <w:szCs w:val="30"/>
          <w:highlight w:val="none"/>
          <w:u w:val="single"/>
        </w:rPr>
      </w:pPr>
    </w:p>
    <w:p>
      <w:pPr>
        <w:spacing w:line="6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招标人名称、行政监管部门：</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我单位参与</w:t>
      </w:r>
      <w:r>
        <w:rPr>
          <w:rFonts w:hint="eastAsia" w:ascii="宋体" w:hAnsi="宋体" w:eastAsia="宋体" w:cs="宋体"/>
          <w:sz w:val="24"/>
          <w:szCs w:val="24"/>
          <w:highlight w:val="none"/>
          <w:u w:val="single"/>
        </w:rPr>
        <w:t>（招标项目名称）</w:t>
      </w:r>
      <w:r>
        <w:rPr>
          <w:rFonts w:hint="eastAsia" w:ascii="宋体" w:hAnsi="宋体" w:eastAsia="宋体" w:cs="宋体"/>
          <w:sz w:val="24"/>
          <w:szCs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一、我单位和我本人遵循公开、公平、公正、诚实守信的原则，依法依规参与本项目投标。</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二、我单位具有参与本次投标的资质和能力，公司运营状况良好，不存在挂靠投标、不受让、租借、出租、出借资格或资质证书，无处罚期内的不良行为。</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三、我单位在本项目投标过程中从招标公告/投标邀请书列明的渠道获取招标文件，没有通过其他不正当渠道获取招标文件。</w:t>
      </w:r>
    </w:p>
    <w:p>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四、我单位承诺投标文件由本单位员工独立编制，严格遵守保密义务。所提供的一切投标相关材料都是真实、有效、合法的。</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五、我单位不与其他投标人相互串通投标报价，不恶意压低或抬高投标报价，不排挤其他投标人的公平竞争，不损害招标人或其他投标人的合法权益。</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六、我单位不与招标人或招标代理机构串通投标，损害国家利益、社会公共利益或者他人的合法权益。</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七、我单位不向招标人或者评标委员会成员行贿以牟取中标，不在开标后进行虚假恶意投诉。</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九、我单位如在本项目招标投标活动评标工作中存在串通投标、弄虚作假等行为的，本单位及本人自愿承担法律责任，接受相应刑事、纪律和行政处罚以及失信惩戒。</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十、本承诺函由我单位盖章及法定代表人（授权委托人）签字（或盖章）确认。</w:t>
      </w:r>
    </w:p>
    <w:p>
      <w:pPr>
        <w:spacing w:line="600" w:lineRule="exact"/>
        <w:ind w:firstLine="480" w:firstLineChars="200"/>
        <w:rPr>
          <w:rFonts w:hint="eastAsia" w:ascii="宋体" w:hAnsi="宋体" w:eastAsia="宋体" w:cs="宋体"/>
          <w:sz w:val="24"/>
          <w:szCs w:val="24"/>
          <w:highlight w:val="none"/>
          <w:shd w:val="clear" w:color="auto" w:fill="FFFFFF"/>
        </w:rPr>
      </w:pPr>
    </w:p>
    <w:p>
      <w:pPr>
        <w:spacing w:line="600" w:lineRule="exact"/>
        <w:ind w:firstLine="480" w:firstLineChars="200"/>
        <w:rPr>
          <w:rFonts w:hint="eastAsia" w:ascii="宋体" w:hAnsi="宋体" w:eastAsia="宋体" w:cs="宋体"/>
          <w:sz w:val="24"/>
          <w:szCs w:val="24"/>
          <w:highlight w:val="none"/>
          <w:shd w:val="clear" w:color="auto" w:fill="FFFFFF"/>
        </w:rPr>
      </w:pPr>
    </w:p>
    <w:p>
      <w:pPr>
        <w:spacing w:line="6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（盖单位公章）</w:t>
      </w:r>
    </w:p>
    <w:p>
      <w:pPr>
        <w:spacing w:line="600" w:lineRule="exact"/>
        <w:rPr>
          <w:rFonts w:hint="eastAsia" w:ascii="宋体" w:hAnsi="宋体" w:eastAsia="宋体" w:cs="宋体"/>
          <w:sz w:val="24"/>
          <w:szCs w:val="24"/>
          <w:highlight w:val="none"/>
        </w:rPr>
      </w:pPr>
    </w:p>
    <w:p>
      <w:pPr>
        <w:spacing w:line="6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法定代表人（授权委托人）：        （签字或盖章）</w:t>
      </w:r>
    </w:p>
    <w:p>
      <w:pPr>
        <w:spacing w:line="600" w:lineRule="exact"/>
        <w:rPr>
          <w:rFonts w:hint="eastAsia" w:ascii="宋体" w:hAnsi="宋体" w:eastAsia="宋体" w:cs="宋体"/>
          <w:sz w:val="24"/>
          <w:szCs w:val="24"/>
          <w:highlight w:val="none"/>
        </w:rPr>
      </w:pPr>
    </w:p>
    <w:p>
      <w:pPr>
        <w:spacing w:line="600" w:lineRule="exact"/>
        <w:rPr>
          <w:rFonts w:hint="eastAsia" w:ascii="宋体" w:hAnsi="宋体" w:eastAsia="宋体" w:cs="宋体"/>
          <w:sz w:val="24"/>
          <w:szCs w:val="24"/>
          <w:highlight w:val="none"/>
        </w:rPr>
      </w:pPr>
    </w:p>
    <w:p>
      <w:pPr>
        <w:numPr>
          <w:ilvl w:val="0"/>
          <w:numId w:val="0"/>
        </w:numPr>
        <w:jc w:val="righ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sz w:val="24"/>
          <w:szCs w:val="24"/>
          <w:highlight w:val="none"/>
        </w:rPr>
        <w:t>承诺时间：    年   月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p>
    <w:p>
      <w:pPr>
        <w:pStyle w:val="6"/>
        <w:spacing w:line="360" w:lineRule="auto"/>
        <w:jc w:val="center"/>
        <w:rPr>
          <w:rFonts w:hint="eastAsia" w:ascii="宋体" w:hAnsi="宋体" w:eastAsia="宋体" w:cs="宋体"/>
          <w:color w:val="auto"/>
          <w:highlight w:val="none"/>
        </w:rPr>
      </w:pPr>
      <w:bookmarkStart w:id="261" w:name="_Toc19864"/>
      <w:bookmarkStart w:id="262" w:name="_Toc350516686"/>
      <w:bookmarkStart w:id="263" w:name="_Toc350515672"/>
      <w:bookmarkStart w:id="264" w:name="_Toc344394220"/>
      <w:bookmarkStart w:id="265" w:name="_Toc344397386"/>
      <w:bookmarkStart w:id="266" w:name="_Toc330342816"/>
      <w:bookmarkStart w:id="267" w:name="_Toc349568743"/>
      <w:bookmarkStart w:id="268" w:name="_Toc7715"/>
      <w:bookmarkStart w:id="269" w:name="_Toc349914547"/>
      <w:bookmarkStart w:id="270" w:name="_Toc369353510"/>
      <w:bookmarkStart w:id="271" w:name="_Toc2306"/>
      <w:bookmarkStart w:id="272" w:name="_Toc343510619"/>
      <w:bookmarkStart w:id="273" w:name="_Toc16811"/>
      <w:r>
        <w:rPr>
          <w:rFonts w:hint="eastAsia" w:ascii="宋体" w:hAnsi="宋体" w:eastAsia="宋体" w:cs="宋体"/>
          <w:color w:val="auto"/>
          <w:highlight w:val="none"/>
        </w:rPr>
        <w:t>第三部分 技术部分</w:t>
      </w:r>
      <w:bookmarkEnd w:id="261"/>
      <w:bookmarkEnd w:id="262"/>
      <w:bookmarkEnd w:id="263"/>
      <w:bookmarkEnd w:id="264"/>
      <w:bookmarkEnd w:id="265"/>
      <w:bookmarkEnd w:id="266"/>
      <w:bookmarkEnd w:id="267"/>
      <w:bookmarkEnd w:id="268"/>
      <w:bookmarkEnd w:id="269"/>
      <w:bookmarkEnd w:id="270"/>
      <w:bookmarkEnd w:id="271"/>
      <w:bookmarkEnd w:id="272"/>
      <w:bookmarkEnd w:id="273"/>
    </w:p>
    <w:p>
      <w:pPr>
        <w:spacing w:before="240" w:after="60" w:line="360" w:lineRule="auto"/>
        <w:ind w:firstLine="510"/>
        <w:rPr>
          <w:rFonts w:hint="eastAsia" w:ascii="宋体" w:hAnsi="宋体" w:eastAsia="宋体" w:cs="宋体"/>
          <w:color w:val="auto"/>
          <w:sz w:val="24"/>
          <w:highlight w:val="none"/>
        </w:rPr>
      </w:pP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投标人根据招标文件的要求对所投</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的以下方面进行技术说明，格式自拟：</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总体编制方案；</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现状调查分析及计划安排；</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质量及进度控制措施；</w:t>
      </w:r>
    </w:p>
    <w:p>
      <w:pPr>
        <w:spacing w:before="240" w:after="60" w:line="360" w:lineRule="auto"/>
        <w:ind w:firstLine="51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服务保障措施</w:t>
      </w:r>
      <w:r>
        <w:rPr>
          <w:rFonts w:hint="eastAsia" w:ascii="宋体" w:hAnsi="宋体" w:eastAsia="宋体" w:cs="宋体"/>
          <w:color w:val="auto"/>
          <w:sz w:val="24"/>
          <w:highlight w:val="none"/>
          <w:lang w:eastAsia="zh-CN"/>
        </w:rPr>
        <w:t>。</w:t>
      </w:r>
    </w:p>
    <w:p>
      <w:pPr>
        <w:rPr>
          <w:rFonts w:hint="eastAsia" w:ascii="宋体" w:hAnsi="宋体" w:eastAsia="宋体" w:cs="宋体"/>
          <w:bCs w:val="0"/>
          <w:color w:val="auto"/>
          <w:highlight w:val="none"/>
        </w:rPr>
      </w:pPr>
    </w:p>
    <w:p>
      <w:pP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p>
    <w:p>
      <w:pPr>
        <w:pStyle w:val="6"/>
        <w:spacing w:line="360" w:lineRule="auto"/>
        <w:jc w:val="center"/>
        <w:rPr>
          <w:rFonts w:hint="eastAsia" w:ascii="宋体" w:hAnsi="宋体" w:eastAsia="宋体" w:cs="宋体"/>
          <w:color w:val="auto"/>
          <w:highlight w:val="none"/>
        </w:rPr>
      </w:pPr>
      <w:bookmarkStart w:id="274" w:name="_Toc7479"/>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 商务部分</w:t>
      </w:r>
      <w:bookmarkEnd w:id="274"/>
    </w:p>
    <w:p>
      <w:pPr>
        <w:pStyle w:val="6"/>
        <w:spacing w:line="360" w:lineRule="auto"/>
        <w:rPr>
          <w:rFonts w:hint="eastAsia" w:ascii="宋体" w:hAnsi="宋体" w:eastAsia="宋体" w:cs="宋体"/>
          <w:color w:val="auto"/>
          <w:sz w:val="28"/>
          <w:szCs w:val="28"/>
          <w:highlight w:val="none"/>
        </w:rPr>
      </w:pPr>
      <w:bookmarkStart w:id="275" w:name="_Toc330342811"/>
      <w:bookmarkStart w:id="276" w:name="_Toc344397381"/>
      <w:bookmarkStart w:id="277" w:name="_Toc349568738"/>
      <w:bookmarkStart w:id="278" w:name="_Toc330342560"/>
      <w:bookmarkStart w:id="279" w:name="_Toc344394215"/>
      <w:bookmarkStart w:id="280" w:name="_Toc9488"/>
      <w:bookmarkStart w:id="281" w:name="_Toc25097"/>
      <w:bookmarkStart w:id="282" w:name="_Toc343510614"/>
      <w:bookmarkStart w:id="283" w:name="_Toc369353509"/>
      <w:bookmarkStart w:id="284" w:name="_Toc349914546"/>
      <w:bookmarkStart w:id="285" w:name="_Toc11707"/>
      <w:bookmarkStart w:id="286" w:name="_Toc18123"/>
      <w:bookmarkStart w:id="287" w:name="_Toc350515671"/>
      <w:bookmarkStart w:id="288" w:name="_Toc350516685"/>
      <w:r>
        <w:rPr>
          <w:rFonts w:hint="eastAsia" w:ascii="宋体" w:hAnsi="宋体" w:eastAsia="宋体" w:cs="宋体"/>
          <w:color w:val="auto"/>
          <w:sz w:val="28"/>
          <w:szCs w:val="28"/>
          <w:highlight w:val="none"/>
        </w:rPr>
        <w:t>1、</w:t>
      </w:r>
      <w:bookmarkEnd w:id="275"/>
      <w:bookmarkEnd w:id="276"/>
      <w:bookmarkEnd w:id="277"/>
      <w:bookmarkEnd w:id="278"/>
      <w:bookmarkEnd w:id="279"/>
      <w:bookmarkEnd w:id="280"/>
      <w:bookmarkEnd w:id="281"/>
      <w:bookmarkEnd w:id="282"/>
      <w:r>
        <w:rPr>
          <w:rFonts w:hint="eastAsia" w:ascii="宋体" w:hAnsi="宋体" w:eastAsia="宋体" w:cs="宋体"/>
          <w:bCs w:val="0"/>
          <w:color w:val="auto"/>
          <w:sz w:val="28"/>
          <w:szCs w:val="28"/>
          <w:highlight w:val="none"/>
          <w:lang w:val="en-US" w:eastAsia="zh-CN"/>
        </w:rPr>
        <w:t>服务</w:t>
      </w:r>
      <w:r>
        <w:rPr>
          <w:rFonts w:hint="eastAsia" w:ascii="宋体" w:hAnsi="宋体" w:eastAsia="宋体" w:cs="宋体"/>
          <w:bCs w:val="0"/>
          <w:color w:val="auto"/>
          <w:sz w:val="28"/>
          <w:szCs w:val="28"/>
          <w:highlight w:val="none"/>
        </w:rPr>
        <w:t>说明</w:t>
      </w:r>
      <w:bookmarkEnd w:id="283"/>
      <w:bookmarkEnd w:id="284"/>
      <w:bookmarkEnd w:id="285"/>
      <w:bookmarkEnd w:id="286"/>
      <w:bookmarkEnd w:id="287"/>
      <w:bookmarkEnd w:id="288"/>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我单位所提供的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 xml:space="preserve">质量完全响应“第五章 </w:t>
      </w:r>
      <w:r>
        <w:rPr>
          <w:rFonts w:hint="eastAsia" w:ascii="宋体" w:hAnsi="宋体" w:eastAsia="宋体" w:cs="宋体"/>
          <w:color w:val="auto"/>
          <w:sz w:val="24"/>
          <w:szCs w:val="24"/>
          <w:highlight w:val="none"/>
          <w:lang w:val="en-US" w:eastAsia="zh-CN"/>
        </w:rPr>
        <w:t>服务需求</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u w:val="single"/>
        </w:rPr>
      </w:pPr>
    </w:p>
    <w:p>
      <w:pPr>
        <w:spacing w:before="240" w:after="60" w:line="360" w:lineRule="auto"/>
        <w:rPr>
          <w:rFonts w:hint="eastAsia" w:ascii="宋体" w:hAnsi="宋体" w:eastAsia="宋体" w:cs="宋体"/>
          <w:color w:val="auto"/>
          <w:sz w:val="24"/>
          <w:highlight w:val="none"/>
        </w:rPr>
      </w:pP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日期：________年_____月_____日</w:t>
      </w:r>
    </w:p>
    <w:p>
      <w:pPr>
        <w:spacing w:line="360" w:lineRule="auto"/>
        <w:rPr>
          <w:rFonts w:hint="eastAsia" w:ascii="宋体" w:hAnsi="宋体" w:eastAsia="宋体" w:cs="宋体"/>
          <w:b/>
          <w:bCs/>
          <w:color w:val="auto"/>
          <w:sz w:val="24"/>
          <w:szCs w:val="24"/>
          <w:highlight w:val="none"/>
        </w:rPr>
      </w:pPr>
    </w:p>
    <w:p>
      <w:pPr>
        <w:pStyle w:val="6"/>
        <w:spacing w:line="360" w:lineRule="auto"/>
        <w:rPr>
          <w:rFonts w:hint="eastAsia" w:ascii="宋体" w:hAnsi="宋体" w:eastAsia="宋体" w:cs="宋体"/>
          <w:color w:val="auto"/>
          <w:sz w:val="28"/>
          <w:szCs w:val="28"/>
          <w:highlight w:val="none"/>
        </w:rPr>
        <w:sectPr>
          <w:headerReference r:id="rId14" w:type="default"/>
          <w:pgSz w:w="11906" w:h="16838"/>
          <w:pgMar w:top="1134" w:right="1274" w:bottom="993" w:left="1276" w:header="454" w:footer="454" w:gutter="0"/>
          <w:cols w:space="720" w:num="1"/>
          <w:docGrid w:linePitch="312" w:charSpace="0"/>
        </w:sectPr>
      </w:pPr>
    </w:p>
    <w:p>
      <w:pPr>
        <w:pStyle w:val="6"/>
        <w:spacing w:line="360" w:lineRule="auto"/>
        <w:rPr>
          <w:rFonts w:hint="eastAsia" w:ascii="宋体" w:hAnsi="宋体" w:eastAsia="宋体" w:cs="宋体"/>
          <w:color w:val="auto"/>
          <w:sz w:val="28"/>
          <w:szCs w:val="28"/>
          <w:highlight w:val="none"/>
        </w:rPr>
      </w:pPr>
      <w:bookmarkStart w:id="289" w:name="_Toc7616"/>
      <w:bookmarkStart w:id="290" w:name="_Toc350516687"/>
      <w:bookmarkStart w:id="291" w:name="_Toc349914548"/>
      <w:bookmarkStart w:id="292" w:name="_Toc696"/>
      <w:bookmarkStart w:id="293" w:name="_Toc369353511"/>
      <w:bookmarkStart w:id="294" w:name="_Toc350515673"/>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拟投入本项目的人员情况</w:t>
      </w:r>
      <w:r>
        <w:rPr>
          <w:rFonts w:hint="eastAsia" w:ascii="宋体" w:hAnsi="宋体" w:eastAsia="宋体" w:cs="宋体"/>
          <w:color w:val="auto"/>
          <w:sz w:val="28"/>
          <w:szCs w:val="28"/>
          <w:highlight w:val="none"/>
        </w:rPr>
        <w:t>（格式）</w:t>
      </w:r>
      <w:bookmarkEnd w:id="289"/>
      <w:bookmarkEnd w:id="290"/>
      <w:bookmarkEnd w:id="291"/>
      <w:bookmarkEnd w:id="292"/>
      <w:bookmarkEnd w:id="293"/>
      <w:bookmarkEnd w:id="294"/>
    </w:p>
    <w:p>
      <w:pPr>
        <w:spacing w:line="360" w:lineRule="auto"/>
        <w:jc w:val="center"/>
        <w:rPr>
          <w:rFonts w:hint="eastAsia" w:ascii="宋体" w:hAnsi="宋体" w:eastAsia="宋体" w:cs="宋体"/>
          <w:b/>
          <w:color w:val="auto"/>
          <w:highlight w:val="none"/>
          <w:lang w:eastAsia="zh-CN"/>
        </w:rPr>
      </w:pPr>
      <w:r>
        <w:rPr>
          <w:rFonts w:hint="eastAsia" w:ascii="宋体" w:hAnsi="宋体" w:eastAsia="宋体" w:cs="宋体"/>
          <w:b/>
          <w:color w:val="auto"/>
          <w:sz w:val="28"/>
          <w:szCs w:val="28"/>
          <w:highlight w:val="none"/>
          <w:lang w:eastAsia="zh-CN"/>
        </w:rPr>
        <w:t>拟投入本项目的人员情况</w:t>
      </w:r>
    </w:p>
    <w:tbl>
      <w:tblPr>
        <w:tblStyle w:val="26"/>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3188"/>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人员姓名</w:t>
            </w:r>
          </w:p>
        </w:tc>
        <w:tc>
          <w:tcPr>
            <w:tcW w:w="3188"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专业工作年限</w:t>
            </w:r>
          </w:p>
        </w:tc>
        <w:tc>
          <w:tcPr>
            <w:tcW w:w="3197"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bl>
    <w:p>
      <w:pPr>
        <w:spacing w:before="240" w:after="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注：后</w:t>
      </w:r>
      <w:r>
        <w:rPr>
          <w:rFonts w:hint="eastAsia" w:ascii="宋体" w:hAnsi="宋体" w:eastAsia="宋体" w:cs="宋体"/>
          <w:color w:val="auto"/>
          <w:sz w:val="24"/>
          <w:highlight w:val="none"/>
        </w:rPr>
        <w:t>附身份证、职称证、学历证</w:t>
      </w:r>
      <w:r>
        <w:rPr>
          <w:rFonts w:hint="eastAsia" w:ascii="宋体" w:hAnsi="宋体" w:eastAsia="宋体" w:cs="宋体"/>
          <w:color w:val="auto"/>
          <w:sz w:val="24"/>
          <w:highlight w:val="none"/>
          <w:lang w:val="en-US" w:eastAsia="zh-CN"/>
        </w:rPr>
        <w:t>及投标截止时间前6个月内社保证明材料等</w:t>
      </w:r>
      <w:r>
        <w:rPr>
          <w:rFonts w:hint="eastAsia" w:ascii="宋体" w:hAnsi="宋体" w:eastAsia="宋体" w:cs="宋体"/>
          <w:color w:val="auto"/>
          <w:sz w:val="24"/>
          <w:highlight w:val="none"/>
        </w:rPr>
        <w:t>。</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日期：________年_____月_____日</w:t>
      </w:r>
    </w:p>
    <w:p>
      <w:pPr>
        <w:pStyle w:val="6"/>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bookmarkStart w:id="295" w:name="_Toc26201"/>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lang w:val="en-US" w:eastAsia="zh-CN"/>
        </w:rPr>
        <w:t>21</w:t>
      </w:r>
      <w:r>
        <w:rPr>
          <w:rFonts w:hint="eastAsia" w:ascii="宋体" w:hAnsi="宋体" w:eastAsia="宋体" w:cs="宋体"/>
          <w:color w:val="auto"/>
          <w:sz w:val="28"/>
          <w:szCs w:val="28"/>
          <w:highlight w:val="none"/>
        </w:rPr>
        <w:t>年1月1日至今类似供货业绩（如有）</w:t>
      </w:r>
      <w:bookmarkEnd w:id="295"/>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注：1）类似供货业绩要求投标人附20</w:t>
      </w:r>
      <w:r>
        <w:rPr>
          <w:rFonts w:hint="eastAsia" w:ascii="宋体" w:hAnsi="宋体" w:eastAsia="宋体" w:cs="宋体"/>
          <w:b/>
          <w:color w:val="auto"/>
          <w:sz w:val="24"/>
          <w:highlight w:val="none"/>
          <w:lang w:val="en-US" w:eastAsia="zh-CN"/>
        </w:rPr>
        <w:t>21</w:t>
      </w:r>
      <w:r>
        <w:rPr>
          <w:rFonts w:hint="eastAsia" w:ascii="宋体" w:hAnsi="宋体" w:eastAsia="宋体" w:cs="宋体"/>
          <w:b/>
          <w:color w:val="auto"/>
          <w:sz w:val="24"/>
          <w:highlight w:val="none"/>
        </w:rPr>
        <w:t>年1月1日至今已完成或正在履行的类似供货合同复印件（以合同或协议签订日期为准），类似供货合同</w:t>
      </w:r>
      <w:r>
        <w:rPr>
          <w:rFonts w:hint="eastAsia" w:ascii="宋体" w:hAnsi="宋体" w:eastAsia="宋体" w:cs="宋体"/>
          <w:b/>
          <w:color w:val="auto"/>
          <w:sz w:val="24"/>
          <w:szCs w:val="24"/>
          <w:highlight w:val="none"/>
        </w:rPr>
        <w:t>复印件须加盖公章。</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2）投标人</w:t>
      </w:r>
      <w:r>
        <w:rPr>
          <w:rFonts w:hint="eastAsia" w:ascii="宋体" w:hAnsi="宋体" w:eastAsia="宋体" w:cs="宋体"/>
          <w:b/>
          <w:color w:val="auto"/>
          <w:sz w:val="24"/>
          <w:szCs w:val="24"/>
          <w:highlight w:val="none"/>
        </w:rPr>
        <w:t>所提供的业绩证明材料是否具有类似性由评标委员会判定。</w:t>
      </w:r>
    </w:p>
    <w:p>
      <w:pP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p>
    <w:p>
      <w:pPr>
        <w:pStyle w:val="6"/>
        <w:spacing w:line="360" w:lineRule="auto"/>
        <w:jc w:val="center"/>
        <w:rPr>
          <w:rFonts w:hint="eastAsia" w:ascii="宋体" w:hAnsi="宋体" w:eastAsia="宋体" w:cs="宋体"/>
          <w:color w:val="auto"/>
          <w:sz w:val="28"/>
          <w:szCs w:val="28"/>
          <w:highlight w:val="none"/>
        </w:rPr>
      </w:pPr>
      <w:bookmarkStart w:id="296" w:name="_Toc28956"/>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五</w:t>
      </w:r>
      <w:r>
        <w:rPr>
          <w:rFonts w:hint="eastAsia" w:ascii="宋体" w:hAnsi="宋体" w:eastAsia="宋体" w:cs="宋体"/>
          <w:bCs w:val="0"/>
          <w:color w:val="auto"/>
          <w:highlight w:val="none"/>
        </w:rPr>
        <w:t xml:space="preserve">部分 </w:t>
      </w:r>
      <w:r>
        <w:rPr>
          <w:rFonts w:hint="eastAsia" w:ascii="宋体" w:hAnsi="宋体" w:eastAsia="宋体" w:cs="宋体"/>
          <w:bCs w:val="0"/>
          <w:color w:val="auto"/>
          <w:highlight w:val="none"/>
          <w:lang w:val="en-US" w:eastAsia="zh-CN"/>
        </w:rPr>
        <w:t>其他资料</w:t>
      </w:r>
      <w:bookmarkEnd w:id="296"/>
    </w:p>
    <w:p>
      <w:pPr>
        <w:pStyle w:val="6"/>
        <w:spacing w:line="360" w:lineRule="auto"/>
        <w:rPr>
          <w:rFonts w:hint="eastAsia" w:ascii="宋体" w:hAnsi="宋体" w:eastAsia="宋体" w:cs="宋体"/>
          <w:color w:val="auto"/>
          <w:sz w:val="28"/>
          <w:szCs w:val="28"/>
          <w:highlight w:val="none"/>
        </w:rPr>
      </w:pPr>
      <w:bookmarkStart w:id="297" w:name="_Toc330342573"/>
      <w:bookmarkStart w:id="298" w:name="_Toc349914552"/>
      <w:bookmarkStart w:id="299" w:name="_Toc349568752"/>
      <w:bookmarkStart w:id="300" w:name="_Toc344397394"/>
      <w:bookmarkStart w:id="301" w:name="_Toc344394228"/>
      <w:bookmarkStart w:id="302" w:name="_Toc330342824"/>
      <w:bookmarkStart w:id="303" w:name="_Toc563"/>
      <w:bookmarkStart w:id="304" w:name="_Toc21061"/>
      <w:bookmarkStart w:id="305" w:name="_Toc22416"/>
      <w:bookmarkStart w:id="306" w:name="_Toc26376"/>
      <w:bookmarkStart w:id="307" w:name="_Toc369353515"/>
      <w:bookmarkStart w:id="308" w:name="_Toc350516691"/>
      <w:bookmarkStart w:id="309" w:name="_Toc350515677"/>
      <w:bookmarkStart w:id="310" w:name="_Toc343510627"/>
      <w:r>
        <w:rPr>
          <w:rFonts w:hint="eastAsia" w:ascii="宋体" w:hAnsi="宋体" w:eastAsia="宋体" w:cs="宋体"/>
          <w:color w:val="auto"/>
          <w:sz w:val="28"/>
          <w:szCs w:val="28"/>
          <w:highlight w:val="none"/>
        </w:rPr>
        <w:t>1、承诺书</w:t>
      </w:r>
      <w:r>
        <w:rPr>
          <w:rFonts w:hint="eastAsia" w:ascii="宋体" w:hAnsi="宋体" w:eastAsia="宋体" w:cs="宋体"/>
          <w:bCs w:val="0"/>
          <w:color w:val="auto"/>
          <w:sz w:val="28"/>
          <w:szCs w:val="28"/>
          <w:highlight w:val="none"/>
        </w:rPr>
        <w:t>（格式）</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autoSpaceDE w:val="0"/>
        <w:autoSpaceDN w:val="0"/>
        <w:adjustRightInd w:val="0"/>
        <w:spacing w:after="240" w:line="360" w:lineRule="auto"/>
        <w:jc w:val="left"/>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4"/>
          <w:highlight w:val="none"/>
          <w:lang w:val="zh-CN"/>
        </w:rPr>
        <w:t>致：</w:t>
      </w:r>
      <w:r>
        <w:rPr>
          <w:rFonts w:hint="eastAsia" w:ascii="宋体" w:hAnsi="宋体" w:eastAsia="宋体" w:cs="宋体"/>
          <w:b/>
          <w:color w:val="auto"/>
          <w:kern w:val="0"/>
          <w:sz w:val="24"/>
          <w:highlight w:val="none"/>
          <w:lang w:val="zh-CN"/>
        </w:rPr>
        <w:t>营口市自然资源局</w:t>
      </w:r>
    </w:p>
    <w:p>
      <w:pPr>
        <w:autoSpaceDE w:val="0"/>
        <w:autoSpaceDN w:val="0"/>
        <w:adjustRightInd w:val="0"/>
        <w:spacing w:line="360" w:lineRule="auto"/>
        <w:ind w:firstLine="576"/>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为满足“辽宁省营口市海洋生态保护修复工程项目实施方案编制服务”资格审查的要求，我方</w:t>
      </w:r>
      <w:r>
        <w:rPr>
          <w:rFonts w:hint="eastAsia" w:ascii="宋体" w:hAnsi="宋体" w:eastAsia="宋体" w:cs="宋体"/>
          <w:b/>
          <w:bCs/>
          <w:color w:val="auto"/>
          <w:kern w:val="0"/>
          <w:sz w:val="24"/>
          <w:highlight w:val="none"/>
          <w:u w:val="single"/>
          <w:lang w:val="zh-CN"/>
        </w:rPr>
        <w:t>(投标人全称)</w:t>
      </w:r>
      <w:r>
        <w:rPr>
          <w:rFonts w:hint="eastAsia" w:ascii="宋体" w:hAnsi="宋体" w:eastAsia="宋体" w:cs="宋体"/>
          <w:color w:val="auto"/>
          <w:kern w:val="0"/>
          <w:sz w:val="24"/>
          <w:highlight w:val="none"/>
          <w:lang w:val="zh-CN"/>
        </w:rPr>
        <w:t>在此承诺所提供的申请材料均为真实的，我方理解你们将不受必须接受我方的约束。</w:t>
      </w:r>
    </w:p>
    <w:p>
      <w:pPr>
        <w:autoSpaceDE w:val="0"/>
        <w:autoSpaceDN w:val="0"/>
        <w:adjustRightInd w:val="0"/>
        <w:spacing w:line="360" w:lineRule="auto"/>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投标人(盖公章)：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ind w:firstLine="3271"/>
        <w:jc w:val="left"/>
        <w:rPr>
          <w:rFonts w:hint="eastAsia" w:ascii="宋体" w:hAnsi="宋体" w:eastAsia="宋体" w:cs="宋体"/>
          <w:color w:val="auto"/>
          <w:kern w:val="0"/>
          <w:sz w:val="24"/>
          <w:highlight w:val="none"/>
          <w:u w:val="single"/>
          <w:lang w:val="zh-CN"/>
        </w:rPr>
      </w:pP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法定代表人或授权委托人(签字或盖章)：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lang w:val="zh-CN"/>
        </w:rPr>
      </w:pPr>
    </w:p>
    <w:p>
      <w:pPr>
        <w:jc w:val="righ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日期：________年_____月_____日</w:t>
      </w:r>
      <w:r>
        <w:rPr>
          <w:rFonts w:hint="eastAsia" w:ascii="宋体" w:hAnsi="宋体" w:eastAsia="宋体" w:cs="宋体"/>
          <w:color w:val="auto"/>
          <w:kern w:val="0"/>
          <w:sz w:val="24"/>
          <w:highlight w:val="none"/>
          <w:lang w:val="zh-CN"/>
        </w:rPr>
        <w:br w:type="page"/>
      </w:r>
    </w:p>
    <w:p>
      <w:pPr>
        <w:pStyle w:val="6"/>
        <w:spacing w:line="360" w:lineRule="auto"/>
        <w:rPr>
          <w:rFonts w:hint="eastAsia" w:ascii="宋体" w:hAnsi="宋体" w:eastAsia="宋体" w:cs="宋体"/>
          <w:color w:val="auto"/>
          <w:sz w:val="28"/>
          <w:szCs w:val="28"/>
          <w:highlight w:val="none"/>
        </w:rPr>
      </w:pPr>
      <w:bookmarkStart w:id="311" w:name="_Toc22764"/>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、待解决的诉讼</w:t>
      </w:r>
      <w:bookmarkEnd w:id="240"/>
      <w:r>
        <w:rPr>
          <w:rFonts w:hint="eastAsia" w:ascii="宋体" w:hAnsi="宋体" w:eastAsia="宋体" w:cs="宋体"/>
          <w:bCs w:val="0"/>
          <w:color w:val="auto"/>
          <w:sz w:val="28"/>
          <w:szCs w:val="28"/>
          <w:highlight w:val="none"/>
        </w:rPr>
        <w:t>（格式）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311"/>
    </w:p>
    <w:tbl>
      <w:tblPr>
        <w:tblStyle w:val="26"/>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06"/>
        <w:gridCol w:w="220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828" w:type="dxa"/>
            <w:gridSpan w:val="4"/>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待解决的诉讼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2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年份</w:t>
            </w:r>
          </w:p>
        </w:tc>
        <w:tc>
          <w:tcPr>
            <w:tcW w:w="2206"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争议事项</w:t>
            </w:r>
          </w:p>
        </w:tc>
        <w:tc>
          <w:tcPr>
            <w:tcW w:w="2206"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未决所赔金额</w:t>
            </w:r>
          </w:p>
        </w:tc>
        <w:tc>
          <w:tcPr>
            <w:tcW w:w="2211"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未决所赔金额占资产的比例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828" w:type="dxa"/>
            <w:gridSpan w:val="4"/>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不良记录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时间</w:t>
            </w:r>
          </w:p>
        </w:tc>
        <w:tc>
          <w:tcPr>
            <w:tcW w:w="4412" w:type="dxa"/>
            <w:gridSpan w:val="2"/>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不良记录情况说明</w:t>
            </w:r>
          </w:p>
        </w:tc>
        <w:tc>
          <w:tcPr>
            <w:tcW w:w="2211"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4412" w:type="dxa"/>
            <w:gridSpan w:val="2"/>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4412" w:type="dxa"/>
            <w:gridSpan w:val="2"/>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bl>
    <w:p>
      <w:pPr>
        <w:spacing w:line="360" w:lineRule="auto"/>
        <w:rPr>
          <w:rFonts w:hint="eastAsia" w:ascii="宋体" w:hAnsi="宋体" w:eastAsia="宋体" w:cs="宋体"/>
          <w:color w:val="auto"/>
          <w:highlight w:val="none"/>
        </w:rPr>
      </w:pPr>
    </w:p>
    <w:p>
      <w:pPr>
        <w:spacing w:line="360" w:lineRule="auto"/>
        <w:ind w:firstLine="120" w:firstLineChars="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注：1、近年为20</w:t>
      </w: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年1月1日至今。</w:t>
      </w:r>
    </w:p>
    <w:p>
      <w:pPr>
        <w:spacing w:line="360" w:lineRule="auto"/>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2、如有诉讼附法院判决书等证明材料。</w:t>
      </w:r>
    </w:p>
    <w:p>
      <w:pPr>
        <w:spacing w:line="360" w:lineRule="auto"/>
        <w:rPr>
          <w:rFonts w:hint="eastAsia" w:ascii="宋体" w:hAnsi="宋体" w:eastAsia="宋体" w:cs="宋体"/>
          <w:color w:val="auto"/>
          <w:kern w:val="0"/>
          <w:sz w:val="24"/>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left="3118" w:leftChars="148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 </w:t>
      </w:r>
      <w:r>
        <w:rPr>
          <w:rFonts w:hint="eastAsia" w:ascii="宋体" w:hAnsi="宋体" w:eastAsia="宋体" w:cs="宋体"/>
          <w:color w:val="auto"/>
          <w:sz w:val="24"/>
          <w:highlight w:val="none"/>
          <w:u w:val="single"/>
        </w:rPr>
        <w:t xml:space="preserve">                          （盖公章）</w:t>
      </w:r>
    </w:p>
    <w:p>
      <w:pPr>
        <w:spacing w:line="360" w:lineRule="auto"/>
        <w:ind w:left="3118" w:leftChars="1485"/>
        <w:rPr>
          <w:rFonts w:hint="eastAsia" w:ascii="宋体" w:hAnsi="宋体" w:eastAsia="宋体" w:cs="宋体"/>
          <w:color w:val="auto"/>
          <w:sz w:val="24"/>
          <w:highlight w:val="none"/>
        </w:rPr>
      </w:pPr>
    </w:p>
    <w:p>
      <w:pPr>
        <w:spacing w:line="360" w:lineRule="auto"/>
        <w:ind w:left="3118" w:leftChars="148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line="360" w:lineRule="auto"/>
        <w:ind w:left="3118" w:leftChars="1485"/>
        <w:rPr>
          <w:rFonts w:hint="eastAsia" w:ascii="宋体" w:hAnsi="宋体" w:eastAsia="宋体" w:cs="宋体"/>
          <w:color w:val="auto"/>
          <w:sz w:val="24"/>
          <w:highlight w:val="none"/>
          <w:u w:val="single"/>
        </w:rPr>
      </w:pPr>
    </w:p>
    <w:p>
      <w:pPr>
        <w:spacing w:line="360" w:lineRule="auto"/>
        <w:ind w:left="3118" w:leftChars="148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pPr>
        <w:pStyle w:val="6"/>
        <w:spacing w:line="360" w:lineRule="auto"/>
        <w:rPr>
          <w:rFonts w:hint="eastAsia" w:ascii="宋体" w:hAnsi="宋体" w:eastAsia="宋体" w:cs="宋体"/>
          <w:color w:val="auto"/>
          <w:sz w:val="28"/>
          <w:szCs w:val="28"/>
          <w:highlight w:val="none"/>
        </w:rPr>
      </w:pPr>
      <w:r>
        <w:rPr>
          <w:rFonts w:hint="eastAsia" w:ascii="宋体" w:hAnsi="宋体" w:eastAsia="宋体" w:cs="宋体"/>
          <w:b w:val="0"/>
          <w:bCs w:val="0"/>
          <w:color w:val="auto"/>
          <w:sz w:val="30"/>
          <w:highlight w:val="none"/>
        </w:rPr>
        <w:br w:type="page"/>
      </w:r>
      <w:bookmarkStart w:id="312" w:name="_Toc431929819"/>
      <w:bookmarkStart w:id="313" w:name="_Toc7137"/>
      <w:bookmarkStart w:id="314" w:name="_Toc247230329"/>
      <w:bookmarkStart w:id="315" w:name="_Toc369353526"/>
      <w:bookmarkStart w:id="316" w:name="_Toc349914568"/>
      <w:bookmarkStart w:id="317" w:name="_Toc13531"/>
      <w:bookmarkStart w:id="318" w:name="_Toc343510639"/>
      <w:bookmarkStart w:id="319" w:name="_Toc24459"/>
      <w:bookmarkStart w:id="320" w:name="_Toc344397406"/>
      <w:bookmarkStart w:id="321" w:name="_Toc344394240"/>
      <w:bookmarkStart w:id="322" w:name="_Toc349568764"/>
      <w:bookmarkStart w:id="323" w:name="_Toc350516703"/>
      <w:bookmarkStart w:id="324" w:name="_Toc15398"/>
      <w:bookmarkStart w:id="325" w:name="_Toc350515689"/>
      <w:bookmarkStart w:id="326" w:name="_Toc330342837"/>
      <w:bookmarkStart w:id="327" w:name="_Toc330342586"/>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、投标人未处于被责令停业，财产被接管、冻结破产状态承诺书</w:t>
      </w:r>
      <w:bookmarkEnd w:id="312"/>
      <w:r>
        <w:rPr>
          <w:rFonts w:hint="eastAsia" w:ascii="宋体" w:hAnsi="宋体" w:eastAsia="宋体" w:cs="宋体"/>
          <w:color w:val="auto"/>
          <w:sz w:val="28"/>
          <w:szCs w:val="28"/>
          <w:highlight w:val="none"/>
        </w:rPr>
        <w:t>（格式）</w:t>
      </w:r>
      <w:bookmarkEnd w:id="313"/>
    </w:p>
    <w:p>
      <w:pPr>
        <w:pStyle w:val="22"/>
        <w:spacing w:line="360" w:lineRule="auto"/>
        <w:rPr>
          <w:rFonts w:hint="eastAsia" w:ascii="宋体" w:hAnsi="宋体" w:eastAsia="宋体" w:cs="宋体"/>
          <w:color w:val="auto"/>
          <w:kern w:val="0"/>
          <w:highlight w:val="none"/>
          <w:shd w:val="clear" w:color="auto" w:fill="FFFFFF"/>
        </w:rPr>
      </w:pPr>
      <w:r>
        <w:rPr>
          <w:rFonts w:hint="eastAsia" w:ascii="宋体" w:hAnsi="宋体" w:eastAsia="宋体" w:cs="宋体"/>
          <w:color w:val="auto"/>
          <w:highlight w:val="none"/>
          <w:shd w:val="clear" w:color="auto" w:fill="FFFFFF"/>
        </w:rPr>
        <w:t>我单位郑重承诺：</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 目前我单位处于正常生产经营状态。</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 我公司没有处于责令停业状态。</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 我公司投标资格未被取消。</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 我公司目前没有处于财产被接管、冻结，破产状态。</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 ……</w:t>
      </w:r>
    </w:p>
    <w:p>
      <w:pPr>
        <w:spacing w:line="360" w:lineRule="auto"/>
        <w:ind w:firstLine="120" w:firstLineChars="50"/>
        <w:rPr>
          <w:rFonts w:hint="eastAsia" w:ascii="宋体" w:hAnsi="宋体" w:eastAsia="宋体" w:cs="宋体"/>
          <w:color w:val="auto"/>
          <w:sz w:val="24"/>
          <w:highlight w:val="none"/>
        </w:rPr>
      </w:pP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pStyle w:val="22"/>
        <w:spacing w:line="360" w:lineRule="auto"/>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pStyle w:val="6"/>
        <w:bidi w:val="0"/>
        <w:rPr>
          <w:rFonts w:hint="eastAsia" w:ascii="宋体" w:hAnsi="宋体" w:eastAsia="宋体" w:cs="宋体"/>
          <w:b/>
          <w:bCs/>
          <w:color w:val="auto"/>
          <w:kern w:val="2"/>
          <w:szCs w:val="28"/>
          <w:highlight w:val="none"/>
          <w:lang w:val="en-US" w:eastAsia="zh-CN" w:bidi="ar-SA"/>
        </w:rPr>
      </w:pPr>
      <w:bookmarkStart w:id="328" w:name="_Toc3670"/>
      <w:r>
        <w:rPr>
          <w:rFonts w:hint="eastAsia" w:ascii="宋体" w:hAnsi="宋体" w:eastAsia="宋体" w:cs="宋体"/>
          <w:highlight w:val="none"/>
          <w:lang w:val="en-US" w:eastAsia="zh-CN"/>
        </w:rPr>
        <w:t>4、投标人认为所需</w:t>
      </w:r>
      <w:r>
        <w:rPr>
          <w:rFonts w:hint="eastAsia" w:ascii="宋体" w:hAnsi="宋体" w:cs="宋体"/>
          <w:highlight w:val="none"/>
          <w:lang w:val="en-US" w:eastAsia="zh-CN"/>
        </w:rPr>
        <w:t>要</w:t>
      </w:r>
      <w:r>
        <w:rPr>
          <w:rFonts w:hint="eastAsia" w:ascii="宋体" w:hAnsi="宋体" w:eastAsia="宋体" w:cs="宋体"/>
          <w:highlight w:val="none"/>
          <w:lang w:val="en-US" w:eastAsia="zh-CN"/>
        </w:rPr>
        <w:t>的其他材料</w:t>
      </w:r>
      <w:bookmarkEnd w:id="328"/>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360" w:lineRule="auto"/>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pStyle w:val="4"/>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329" w:name="_Toc349568769"/>
      <w:bookmarkStart w:id="330" w:name="_Toc344394245"/>
      <w:bookmarkStart w:id="331" w:name="_Toc350515694"/>
      <w:bookmarkStart w:id="332" w:name="_Toc24960"/>
      <w:bookmarkStart w:id="333" w:name="_Toc343510644"/>
      <w:bookmarkStart w:id="334" w:name="_Toc5036"/>
      <w:r>
        <w:rPr>
          <w:rFonts w:hint="eastAsia" w:ascii="宋体" w:hAnsi="宋体" w:eastAsia="宋体" w:cs="宋体"/>
          <w:color w:val="auto"/>
          <w:w w:val="90"/>
          <w:highlight w:val="none"/>
        </w:rPr>
        <w:t>评标办法</w:t>
      </w:r>
      <w:bookmarkEnd w:id="329"/>
      <w:bookmarkEnd w:id="330"/>
      <w:bookmarkEnd w:id="331"/>
      <w:bookmarkEnd w:id="332"/>
      <w:bookmarkEnd w:id="333"/>
      <w:bookmarkEnd w:id="334"/>
    </w:p>
    <w:p>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24"/>
          <w:highlight w:val="none"/>
        </w:rPr>
        <w:t>第一部分  总     则</w:t>
      </w:r>
    </w:p>
    <w:p>
      <w:pPr>
        <w:widowControl/>
        <w:tabs>
          <w:tab w:val="left" w:pos="2280"/>
        </w:tabs>
        <w:spacing w:line="360" w:lineRule="auto"/>
        <w:jc w:val="center"/>
        <w:rPr>
          <w:rFonts w:hint="eastAsia" w:ascii="宋体" w:hAnsi="宋体" w:eastAsia="宋体" w:cs="宋体"/>
          <w:b/>
          <w:color w:val="auto"/>
          <w:sz w:val="32"/>
          <w:szCs w:val="24"/>
          <w:highlight w:val="none"/>
        </w:rPr>
      </w:pP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根据《中华人民共和国招标投标法》结合本项目实际，制定本办法。</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1.本标准是本招标项目评标委员会评定和推荐中标候选人的依据。</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2.评标原则:评标应遵循公开、公平、公正、科学合理的原则。</w:t>
      </w:r>
    </w:p>
    <w:p>
      <w:pPr>
        <w:widowControl/>
        <w:snapToGrid w:val="0"/>
        <w:spacing w:line="360" w:lineRule="auto"/>
        <w:ind w:firstLine="420"/>
        <w:jc w:val="left"/>
        <w:rPr>
          <w:rFonts w:hint="eastAsia" w:ascii="宋体" w:hAnsi="宋体" w:eastAsia="宋体" w:cs="宋体"/>
          <w:color w:val="auto"/>
          <w:spacing w:val="4"/>
          <w:kern w:val="0"/>
          <w:sz w:val="24"/>
          <w:highlight w:val="none"/>
          <w:lang w:val="en-US" w:eastAsia="zh-CN"/>
        </w:rPr>
      </w:pPr>
      <w:r>
        <w:rPr>
          <w:rFonts w:hint="eastAsia" w:ascii="宋体" w:hAnsi="宋体" w:eastAsia="宋体" w:cs="宋体"/>
          <w:color w:val="auto"/>
          <w:spacing w:val="4"/>
          <w:kern w:val="0"/>
          <w:sz w:val="24"/>
          <w:highlight w:val="none"/>
        </w:rPr>
        <w:t>3.评标委员会对满足招标文件实质性要求的投标文件，按照本章规定的评分标准进行打分，并按得分由高到低顺序推荐中标候选人。如果前三名中标候选人得分出现分值相同的情况，按投标报价得分由高到低进行排序，如投标报价</w:t>
      </w:r>
      <w:r>
        <w:rPr>
          <w:rFonts w:hint="eastAsia" w:ascii="宋体" w:hAnsi="宋体" w:eastAsia="宋体" w:cs="宋体"/>
          <w:color w:val="auto"/>
          <w:spacing w:val="4"/>
          <w:kern w:val="0"/>
          <w:sz w:val="24"/>
          <w:highlight w:val="none"/>
          <w:lang w:eastAsia="zh-CN"/>
        </w:rPr>
        <w:t>得分</w:t>
      </w:r>
      <w:r>
        <w:rPr>
          <w:rFonts w:hint="eastAsia" w:ascii="宋体" w:hAnsi="宋体" w:eastAsia="宋体" w:cs="宋体"/>
          <w:color w:val="auto"/>
          <w:spacing w:val="4"/>
          <w:kern w:val="0"/>
          <w:sz w:val="24"/>
          <w:highlight w:val="none"/>
        </w:rPr>
        <w:t>仍相同则按技术部分得分高低进行排序。</w:t>
      </w:r>
      <w:r>
        <w:rPr>
          <w:rFonts w:hint="eastAsia" w:ascii="宋体" w:hAnsi="宋体" w:eastAsia="宋体" w:cs="宋体"/>
          <w:color w:val="auto"/>
          <w:spacing w:val="4"/>
          <w:kern w:val="0"/>
          <w:sz w:val="24"/>
          <w:highlight w:val="none"/>
          <w:lang w:val="en-US" w:eastAsia="zh-CN"/>
        </w:rPr>
        <w:t>如技术部分得分仍相同，由招标人决定。</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评标委员会在对投标文件进行评审、评分时，应遵守下列规则：</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（1）评标委员会成员应按招标文件的要求，认真审查、评审各投标人投标文件，并写出书面审查和评审意见。</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（2）评标委员会各成员应自主评审，并签字确认。</w:t>
      </w:r>
    </w:p>
    <w:p>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的评标报告应由评标委员会全体成员签字。对评标过程或结论有异议的，以少数服从多数的原则处理，评标委员会成员可以书面方式阐述其不同意见和理由。评标委员会成员拒绝在评标过程文件或评标报告上签字且不以书面阐述其不同意见和理由的，视为同意评标结论。评标委员会应当对此做出书面说明并记录在案。</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3．评标办法：</w:t>
      </w:r>
      <w:r>
        <w:rPr>
          <w:rFonts w:hint="eastAsia" w:ascii="宋体" w:hAnsi="宋体" w:eastAsia="宋体" w:cs="宋体"/>
          <w:b/>
          <w:color w:val="auto"/>
          <w:spacing w:val="4"/>
          <w:kern w:val="0"/>
          <w:sz w:val="24"/>
          <w:highlight w:val="none"/>
        </w:rPr>
        <w:t>评标采用综合评估法</w:t>
      </w:r>
      <w:r>
        <w:rPr>
          <w:rFonts w:hint="eastAsia" w:ascii="宋体" w:hAnsi="宋体" w:eastAsia="宋体" w:cs="宋体"/>
          <w:color w:val="auto"/>
          <w:spacing w:val="4"/>
          <w:kern w:val="0"/>
          <w:sz w:val="24"/>
          <w:highlight w:val="none"/>
        </w:rPr>
        <w:t>。</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4．评标打分原则及中标单位的产生：评标委员会应根据招标文件确定的评分要求，对投标文件进行评分，并按照投标人得分高低推荐中标候选人。</w:t>
      </w:r>
    </w:p>
    <w:p>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招标人应确定排名第一的中标候选人为中标人。排名第一的中标候选人放弃中标，或因不可抗力提出不能履行合同，招标人可以根据评标报告推荐的中标候选人顺序依次确定中标人，并按照投标人须知18.5条规定不予退还其投标保证金。</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评标中若遇特殊问题，由评标委员会根据有关法律、法规、规定研究决定。</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5.评标委员会及评委的产生：评标委员会评委的组成为5人以上（含5人）的单数；评标委员会依法组建。开标结束后，开始评标，评标采用保密方式进行。评标委员会产生后推举其中一名评委为评标委员会主任，并主持评标工作。</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6．评标计算计分规则：</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（1）表述价款的数据均以元为单位，评分计算保留两位小数，第三位作四舍五入。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（2）表述建筑面积以平方米为单位，保留整数，小数点后作四舍五入。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（3）有效范围内百分比计算的比值,保留二位小数,第三位作四舍五入,中间用插入法确定分数。</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（4）分项得分保留二位小数，第三位作四舍五入。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（5）总积分以分项得分累计之和为准，分值保留小数点后二位。</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（6）处罚扣分以地、州以上建设行政主管部门通报处罚文件为依据。</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7. 评标工作按以下程序进行：</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（一）资格审查；</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（二）初步评审；</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（三）详细评审及澄清；</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（四）汇总评标结果，推荐中标候选人；</w:t>
      </w:r>
    </w:p>
    <w:p>
      <w:pPr>
        <w:widowControl/>
        <w:snapToGrid w:val="0"/>
        <w:spacing w:line="360" w:lineRule="auto"/>
        <w:ind w:firstLine="420"/>
        <w:jc w:val="left"/>
        <w:rPr>
          <w:rFonts w:hint="eastAsia" w:ascii="宋体" w:hAnsi="宋体" w:eastAsia="宋体" w:cs="宋体"/>
          <w:bCs/>
          <w:color w:val="auto"/>
          <w:sz w:val="24"/>
          <w:highlight w:val="none"/>
        </w:rPr>
      </w:pPr>
      <w:r>
        <w:rPr>
          <w:rFonts w:hint="eastAsia" w:ascii="宋体" w:hAnsi="宋体" w:eastAsia="宋体" w:cs="宋体"/>
          <w:color w:val="auto"/>
          <w:spacing w:val="4"/>
          <w:kern w:val="0"/>
          <w:sz w:val="24"/>
          <w:highlight w:val="none"/>
        </w:rPr>
        <w:t>（五）编写评标报告。</w:t>
      </w:r>
    </w:p>
    <w:p>
      <w:pPr>
        <w:spacing w:line="360" w:lineRule="auto"/>
        <w:ind w:firstLine="628" w:firstLineChars="262"/>
        <w:rPr>
          <w:rFonts w:hint="eastAsia" w:ascii="宋体" w:hAnsi="宋体" w:eastAsia="宋体" w:cs="宋体"/>
          <w:bCs/>
          <w:color w:val="auto"/>
          <w:sz w:val="24"/>
          <w:szCs w:val="24"/>
          <w:highlight w:val="none"/>
        </w:rPr>
      </w:pPr>
    </w:p>
    <w:p>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第二部分  评分办法</w:t>
      </w:r>
    </w:p>
    <w:p>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w:t>
      </w:r>
    </w:p>
    <w:p>
      <w:pPr>
        <w:numPr>
          <w:ilvl w:val="0"/>
          <w:numId w:val="11"/>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只对在公开开标时经司法公证及监督部门验证有效的投标文件进行符合性审查，判断是否满足招标文件要求。</w:t>
      </w:r>
    </w:p>
    <w:p>
      <w:pPr>
        <w:numPr>
          <w:ilvl w:val="0"/>
          <w:numId w:val="11"/>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审验投标人递交的证件及投标文件，对投标人进行资格审查，审查其是否有能力和条件有效地履行合同义务。投标人未按招标文件要求提供以下文件的复印件并加盖公章，不予通过资格审查，其投标按否决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1、有效的企业营业执照、组织机构代码证、税务登记证（已登记办理“三证合一”的企业仅须提供印有统一社会信用代码的营业执照）；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2、全国投资项目在线审批监管平台工程咨询单位名录中相关专业查询备案截图；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法定代表人身份证明书；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、授权委托书和被授权人的身份证；</w:t>
      </w:r>
    </w:p>
    <w:p>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、投标保证金收据或汇款凭证</w:t>
      </w:r>
      <w:r>
        <w:rPr>
          <w:rFonts w:hint="eastAsia" w:ascii="宋体" w:hAnsi="宋体" w:eastAsia="宋体" w:cs="宋体"/>
          <w:color w:val="auto"/>
          <w:sz w:val="24"/>
          <w:szCs w:val="24"/>
          <w:highlight w:val="none"/>
          <w:lang w:eastAsia="zh-CN"/>
        </w:rPr>
        <w:t>；</w:t>
      </w:r>
    </w:p>
    <w:p>
      <w:pPr>
        <w:numPr>
          <w:ilvl w:val="0"/>
          <w:numId w:val="0"/>
        </w:numPr>
        <w:tabs>
          <w:tab w:val="left" w:pos="993"/>
        </w:tabs>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8"/>
          <w:highlight w:val="none"/>
        </w:rPr>
        <w:t>投标人</w:t>
      </w:r>
      <w:r>
        <w:rPr>
          <w:rFonts w:hint="eastAsia" w:ascii="宋体" w:hAnsi="宋体" w:eastAsia="宋体" w:cs="宋体"/>
          <w:sz w:val="24"/>
          <w:highlight w:val="none"/>
        </w:rPr>
        <w:t>不得被列入“失信被执行人”或“失信惩戒对象”或“重大税收违法案件当事人”，以“信用中国”网站（www.creditchina.gov.cn）查询为准。（需在</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公告发布后从“信用中国”网站打印查询结果并加盖公章）</w:t>
      </w:r>
      <w:r>
        <w:rPr>
          <w:rFonts w:hint="eastAsia" w:ascii="宋体" w:hAnsi="宋体" w:eastAsia="宋体" w:cs="宋体"/>
          <w:sz w:val="24"/>
          <w:highlight w:val="none"/>
          <w:lang w:eastAsia="zh-CN"/>
        </w:rPr>
        <w:t>；</w:t>
      </w:r>
    </w:p>
    <w:p>
      <w:pPr>
        <w:numPr>
          <w:ilvl w:val="0"/>
          <w:numId w:val="0"/>
        </w:numPr>
        <w:tabs>
          <w:tab w:val="left" w:pos="993"/>
        </w:tabs>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r>
        <w:rPr>
          <w:rFonts w:hint="eastAsia" w:ascii="宋体" w:hAnsi="宋体" w:eastAsia="宋体" w:cs="宋体"/>
          <w:sz w:val="24"/>
          <w:highlight w:val="none"/>
          <w:lang w:val="en-US" w:eastAsia="zh-CN"/>
        </w:rPr>
        <w:t>、投标人告知承诺函</w:t>
      </w:r>
    </w:p>
    <w:p>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二、初步评审</w:t>
      </w:r>
    </w:p>
    <w:p>
      <w:pPr>
        <w:numPr>
          <w:ilvl w:val="0"/>
          <w:numId w:val="11"/>
        </w:numPr>
        <w:tabs>
          <w:tab w:val="left" w:pos="1276"/>
          <w:tab w:val="clear" w:pos="1828"/>
        </w:tabs>
        <w:snapToGrid w:val="0"/>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开标后，只有符合招标文件要求并在投标截止时间前递交的投标文件，才能提交评标委员会进行评审。</w:t>
      </w:r>
    </w:p>
    <w:p>
      <w:pPr>
        <w:numPr>
          <w:ilvl w:val="0"/>
          <w:numId w:val="11"/>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评标委员会发现投标人以他人名义投标、串通投标、以行贿手段谋取中标或者以其他弄虚作假方式投标的，该投标人的投标将被否决。</w:t>
      </w:r>
    </w:p>
    <w:p>
      <w:pPr>
        <w:numPr>
          <w:ilvl w:val="0"/>
          <w:numId w:val="11"/>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应当审查每一投标文件是否对招标文件提出的所有实质性要求和条件作出响应。未能在实质上响应的投标，应否决其投标。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numPr>
          <w:ilvl w:val="0"/>
          <w:numId w:val="11"/>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如果投标文件实质上不响应招标文件的各项要求，评标委员会将予以拒绝，并且不允许通过修改或撤销其不符合要求的差异或保留，使之成为具有响应性的投标。</w:t>
      </w:r>
    </w:p>
    <w:p>
      <w:pPr>
        <w:numPr>
          <w:ilvl w:val="0"/>
          <w:numId w:val="11"/>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初步评审时发现投标人的报价明显低于其他投标报价，且其投标书的投标报价分析不能说明清楚，使得其投标报价可能低于其个别成本的，应当对该投标人进行询标。询标完毕后，投标人应对评标委员会所提问题作出书面说明并按要求提供相关证明资料。投标人不能合理说明或者不能提供相关证明资料的，由评标委员会认定该投标人以低于成本报价投标，其投标将被否决。</w:t>
      </w:r>
    </w:p>
    <w:p>
      <w:pPr>
        <w:numPr>
          <w:ilvl w:val="0"/>
          <w:numId w:val="11"/>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投标文件有下列情形之一的，属于重大偏差，视为未能对招标文件作出实质响应，按规定否决其投标：</w:t>
      </w:r>
    </w:p>
    <w:p>
      <w:pPr>
        <w:numPr>
          <w:ilvl w:val="0"/>
          <w:numId w:val="12"/>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有下列情形之一的，视为投标人相互串通投标：</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（1）不同投标人的投标文件由同一单位或者个人编制；</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（2）不同投标人委托同一单位或者个人办理投标事宜；</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（3）不同投标人的投标文件载明的项目管理成员为同一人；</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（4）不同投标人的投标文件异常一致或者投标报价呈规律性差异；</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（5）不同投标人的投标文件相互混装；</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（6）不同投标人的投标保证金从同一单位或者个人的账户转出。</w:t>
      </w:r>
    </w:p>
    <w:p>
      <w:pPr>
        <w:numPr>
          <w:ilvl w:val="0"/>
          <w:numId w:val="12"/>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评标委员会判定其报价</w:t>
      </w:r>
      <w:r>
        <w:rPr>
          <w:rFonts w:hint="eastAsia" w:ascii="宋体" w:hAnsi="宋体" w:eastAsia="宋体" w:cs="宋体"/>
          <w:b/>
          <w:color w:val="auto"/>
          <w:sz w:val="24"/>
          <w:highlight w:val="none"/>
          <w:lang w:val="en-US" w:eastAsia="zh-CN"/>
        </w:rPr>
        <w:t>高于最高限价的</w:t>
      </w:r>
      <w:r>
        <w:rPr>
          <w:rFonts w:hint="eastAsia" w:ascii="宋体" w:hAnsi="宋体" w:eastAsia="宋体" w:cs="宋体"/>
          <w:b/>
          <w:color w:val="auto"/>
          <w:sz w:val="24"/>
          <w:highlight w:val="none"/>
        </w:rPr>
        <w:t>；</w:t>
      </w:r>
    </w:p>
    <w:p>
      <w:pPr>
        <w:numPr>
          <w:ilvl w:val="0"/>
          <w:numId w:val="12"/>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无单位盖章或无法定代表人或其授权代理人签字盖章的；</w:t>
      </w:r>
    </w:p>
    <w:p>
      <w:pPr>
        <w:numPr>
          <w:ilvl w:val="0"/>
          <w:numId w:val="12"/>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未按规定的格式填写，内容不全或关键字迹模糊、无法辨认的；</w:t>
      </w:r>
    </w:p>
    <w:p>
      <w:pPr>
        <w:numPr>
          <w:ilvl w:val="0"/>
          <w:numId w:val="12"/>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投标人递交两份或多份内容不同的投标文件，或在一份投标文件中对同一招标项目有两个或多个报价，且未声明哪一个有效的；</w:t>
      </w:r>
    </w:p>
    <w:p>
      <w:pPr>
        <w:numPr>
          <w:ilvl w:val="0"/>
          <w:numId w:val="12"/>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投标人名称或组织结构与报名时不一致的；</w:t>
      </w:r>
    </w:p>
    <w:p>
      <w:pPr>
        <w:numPr>
          <w:ilvl w:val="0"/>
          <w:numId w:val="12"/>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未按照招标文件要求提交投标保证金的；</w:t>
      </w:r>
    </w:p>
    <w:p>
      <w:pPr>
        <w:numPr>
          <w:ilvl w:val="0"/>
          <w:numId w:val="12"/>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投标文件载明的招标项目完成期限超过招标文件规定的期限的；</w:t>
      </w:r>
    </w:p>
    <w:p>
      <w:pPr>
        <w:numPr>
          <w:ilvl w:val="0"/>
          <w:numId w:val="12"/>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明显不符合技术规格、技术标准的要求的；</w:t>
      </w:r>
    </w:p>
    <w:p>
      <w:pPr>
        <w:numPr>
          <w:ilvl w:val="0"/>
          <w:numId w:val="12"/>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投标文件中技术部分的措施方案没有针对性，与招标项目的实际内容不相符合的；</w:t>
      </w:r>
    </w:p>
    <w:p>
      <w:pPr>
        <w:numPr>
          <w:ilvl w:val="0"/>
          <w:numId w:val="12"/>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投标文件附有招标人不能接受的条件的；</w:t>
      </w:r>
    </w:p>
    <w:p>
      <w:pPr>
        <w:numPr>
          <w:ilvl w:val="0"/>
          <w:numId w:val="12"/>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投标文件中供货承诺或质量承诺不满足招标文件要求的；</w:t>
      </w:r>
    </w:p>
    <w:p>
      <w:pPr>
        <w:numPr>
          <w:ilvl w:val="0"/>
          <w:numId w:val="12"/>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不符合招标文件中规定的其他实质性要求的。</w:t>
      </w:r>
    </w:p>
    <w:p>
      <w:pPr>
        <w:numPr>
          <w:ilvl w:val="0"/>
          <w:numId w:val="11"/>
        </w:numPr>
        <w:tabs>
          <w:tab w:val="left" w:pos="1276"/>
          <w:tab w:val="clear" w:pos="1828"/>
        </w:tabs>
        <w:snapToGrid w:val="0"/>
        <w:spacing w:line="360" w:lineRule="auto"/>
        <w:ind w:left="414" w:firstLine="426"/>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对重大偏差，评标委员会应当依据法律、法规、规章和招标文件的规定作出明确认定。没有明确认定为重大偏差的，一律认定为细微偏差。细微偏差不影响投标文件的有效性。</w:t>
      </w:r>
    </w:p>
    <w:p>
      <w:pPr>
        <w:spacing w:line="360" w:lineRule="auto"/>
        <w:ind w:left="559" w:hanging="559" w:hangingChars="232"/>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三、详细评审</w:t>
      </w:r>
    </w:p>
    <w:tbl>
      <w:tblPr>
        <w:tblStyle w:val="26"/>
        <w:tblW w:w="97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38"/>
        <w:gridCol w:w="1262"/>
        <w:gridCol w:w="983"/>
        <w:gridCol w:w="6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评审项目</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标准分</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1.01</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价格部分</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20" w:lineRule="exac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投标价格最低的</w:t>
            </w:r>
            <w:r>
              <w:rPr>
                <w:rFonts w:hint="eastAsia" w:ascii="宋体" w:hAnsi="宋体" w:eastAsia="宋体" w:cs="宋体"/>
                <w:color w:val="auto"/>
                <w:sz w:val="24"/>
                <w:highlight w:val="none"/>
                <w:lang w:val="en-US" w:eastAsia="zh-CN"/>
              </w:rPr>
              <w:t>有效</w:t>
            </w:r>
            <w:r>
              <w:rPr>
                <w:rFonts w:hint="eastAsia" w:ascii="宋体" w:hAnsi="宋体" w:eastAsia="宋体" w:cs="宋体"/>
                <w:color w:val="auto"/>
                <w:sz w:val="24"/>
                <w:highlight w:val="none"/>
              </w:rPr>
              <w:t>投标报价为评标基准价，其价格分为满分。其他</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投标人的价格分统一按照下列公式计算：投标报价得分=（评标</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基准价/投标报价）×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最低报价不作为中标的唯一保证。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1.02</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企业业绩</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20" w:lineRule="exac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须提供</w:t>
            </w:r>
            <w:r>
              <w:rPr>
                <w:rFonts w:hint="eastAsia" w:ascii="宋体" w:hAnsi="宋体" w:eastAsia="宋体" w:cs="宋体"/>
                <w:color w:val="auto"/>
                <w:sz w:val="24"/>
                <w:highlight w:val="none"/>
                <w:lang w:val="en-US" w:eastAsia="zh-CN"/>
              </w:rPr>
              <w:t>2021年1月1日至今的</w:t>
            </w:r>
            <w:r>
              <w:rPr>
                <w:rFonts w:hint="eastAsia" w:ascii="宋体" w:hAnsi="宋体" w:eastAsia="宋体" w:cs="宋体"/>
                <w:color w:val="auto"/>
                <w:sz w:val="24"/>
                <w:highlight w:val="none"/>
              </w:rPr>
              <w:t>生态环境相关</w:t>
            </w:r>
            <w:r>
              <w:rPr>
                <w:rFonts w:hint="eastAsia" w:ascii="宋体" w:hAnsi="宋体" w:eastAsia="宋体" w:cs="宋体"/>
                <w:color w:val="auto"/>
                <w:sz w:val="24"/>
                <w:highlight w:val="none"/>
                <w:lang w:val="en-US" w:eastAsia="zh-CN"/>
              </w:rPr>
              <w:t>实施方案编制</w:t>
            </w:r>
            <w:r>
              <w:rPr>
                <w:rFonts w:hint="eastAsia" w:ascii="宋体" w:hAnsi="宋体" w:eastAsia="宋体" w:cs="宋体"/>
                <w:color w:val="auto"/>
                <w:sz w:val="24"/>
                <w:highlight w:val="none"/>
              </w:rPr>
              <w:t>业绩，每提供一份得2分，最多得10分。提供中标通知书或合同协议书复印件。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1.03</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拟投入本项目人员</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20" w:lineRule="exac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1.项目负责人具备高级技术职称的，得2分；具备中级技术职称的，得1分。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2.拟投入项目组成员除项目负责人以外，</w:t>
            </w:r>
            <w:r>
              <w:rPr>
                <w:rFonts w:hint="eastAsia" w:ascii="宋体" w:hAnsi="宋体" w:eastAsia="宋体" w:cs="宋体"/>
                <w:color w:val="auto"/>
                <w:sz w:val="24"/>
                <w:highlight w:val="none"/>
              </w:rPr>
              <w:t>具备高级技术职称的，每提供1人得1分，最高得5分；具备中级技术职称的，每提供1人得0.5分，最高得5分。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注：以上须提供职称证书复印件、身份证复印件和</w:t>
            </w:r>
            <w:r>
              <w:rPr>
                <w:rFonts w:hint="eastAsia" w:ascii="宋体" w:hAnsi="宋体" w:eastAsia="宋体" w:cs="宋体"/>
                <w:color w:val="auto"/>
                <w:sz w:val="24"/>
                <w:highlight w:val="none"/>
                <w:lang w:val="en-US" w:eastAsia="zh-CN"/>
              </w:rPr>
              <w:t>投标截止时间前</w:t>
            </w:r>
            <w:r>
              <w:rPr>
                <w:rFonts w:hint="eastAsia" w:ascii="宋体" w:hAnsi="宋体" w:eastAsia="宋体" w:cs="宋体"/>
                <w:color w:val="auto"/>
                <w:sz w:val="24"/>
                <w:highlight w:val="none"/>
              </w:rPr>
              <w:t>6个月内社保证明扫描件并加盖公章。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1.04</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企业认证证书</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具有有效期内的ISO认证的（质量管理体系认证；环境管理体系认证；职业健康安全管理体系认证），每提供1个得1分，最多得3分。不提供不得分。</w:t>
            </w:r>
          </w:p>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lang w:val="en-US" w:eastAsia="zh-CN"/>
              </w:rPr>
              <w:t>注：认证证书须可在国家认证认可监督管理委员会官网网站（http：//www.cnca.gov.cn）查询，并附上查询截图加盖公章。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1.05</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总体编制方案</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20" w:lineRule="exac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针对项目进行总体设计，制定合理设计、逻辑清晰、内容充分，项目方案包括但不局限于：①项目</w:t>
            </w:r>
            <w:r>
              <w:rPr>
                <w:rFonts w:hint="eastAsia" w:ascii="宋体" w:hAnsi="宋体" w:eastAsia="宋体" w:cs="宋体"/>
                <w:color w:val="auto"/>
                <w:sz w:val="24"/>
                <w:highlight w:val="none"/>
                <w:lang w:val="en-US" w:eastAsia="zh-CN"/>
              </w:rPr>
              <w:t>基本情况</w:t>
            </w:r>
            <w:r>
              <w:rPr>
                <w:rFonts w:hint="eastAsia" w:ascii="宋体" w:hAnsi="宋体" w:eastAsia="宋体" w:cs="宋体"/>
                <w:color w:val="auto"/>
                <w:sz w:val="24"/>
                <w:highlight w:val="none"/>
              </w:rPr>
              <w:t xml:space="preserve"> ②</w:t>
            </w:r>
            <w:r>
              <w:rPr>
                <w:rFonts w:hint="eastAsia" w:ascii="宋体" w:hAnsi="宋体" w:eastAsia="宋体" w:cs="宋体"/>
                <w:color w:val="auto"/>
                <w:sz w:val="24"/>
                <w:highlight w:val="none"/>
                <w:lang w:val="en-US" w:eastAsia="zh-CN"/>
              </w:rPr>
              <w:t>问题识别和解决方案</w:t>
            </w:r>
            <w:r>
              <w:rPr>
                <w:rFonts w:hint="eastAsia" w:ascii="宋体" w:hAnsi="宋体" w:eastAsia="宋体" w:cs="宋体"/>
                <w:color w:val="auto"/>
                <w:sz w:val="24"/>
                <w:highlight w:val="none"/>
              </w:rPr>
              <w:t xml:space="preserve"> ③</w:t>
            </w:r>
            <w:r>
              <w:rPr>
                <w:rFonts w:hint="eastAsia" w:ascii="宋体" w:hAnsi="宋体" w:eastAsia="宋体" w:cs="宋体"/>
                <w:color w:val="auto"/>
                <w:sz w:val="24"/>
                <w:highlight w:val="none"/>
                <w:lang w:val="en-US" w:eastAsia="zh-CN"/>
              </w:rPr>
              <w:t>必要性和可行性</w:t>
            </w:r>
            <w:r>
              <w:rPr>
                <w:rFonts w:hint="eastAsia" w:ascii="宋体" w:hAnsi="宋体" w:eastAsia="宋体" w:cs="宋体"/>
                <w:color w:val="auto"/>
                <w:sz w:val="24"/>
                <w:highlight w:val="none"/>
              </w:rPr>
              <w:t xml:space="preserve"> ④</w:t>
            </w:r>
            <w:r>
              <w:rPr>
                <w:rFonts w:hint="eastAsia" w:ascii="宋体" w:hAnsi="宋体" w:eastAsia="宋体" w:cs="宋体"/>
                <w:color w:val="auto"/>
                <w:sz w:val="24"/>
                <w:highlight w:val="none"/>
                <w:lang w:val="en-US" w:eastAsia="zh-CN"/>
              </w:rPr>
              <w:t>实施内容</w:t>
            </w:r>
            <w:r>
              <w:rPr>
                <w:rFonts w:hint="eastAsia" w:ascii="宋体" w:hAnsi="宋体" w:eastAsia="宋体" w:cs="宋体"/>
                <w:color w:val="auto"/>
                <w:sz w:val="24"/>
                <w:highlight w:val="none"/>
              </w:rPr>
              <w:t xml:space="preserve"> ⑤</w:t>
            </w:r>
            <w:r>
              <w:rPr>
                <w:rFonts w:hint="eastAsia" w:ascii="宋体" w:hAnsi="宋体" w:eastAsia="宋体" w:cs="宋体"/>
                <w:color w:val="auto"/>
                <w:sz w:val="24"/>
                <w:highlight w:val="none"/>
                <w:lang w:val="en-US" w:eastAsia="zh-CN"/>
              </w:rPr>
              <w:t>效益分析</w:t>
            </w:r>
            <w:r>
              <w:rPr>
                <w:rFonts w:hint="eastAsia" w:ascii="宋体" w:hAnsi="宋体" w:eastAsia="宋体" w:cs="宋体"/>
                <w:color w:val="auto"/>
                <w:sz w:val="24"/>
                <w:highlight w:val="none"/>
              </w:rPr>
              <w:t>等。</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内容完善、科学合理得10（含）-15分；内容较完善、合理性一般得5（含）-10分，内容空泛、合理性不足得1-5分，不提供不得分。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1.06</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现状调查分析及计划安排</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针对投标人对项目提出的现状调查分析及计划安排进行评比。</w:t>
            </w:r>
          </w:p>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现状调查分析针对性强，计划安排合理、周详的，得7-10分；</w:t>
            </w:r>
          </w:p>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现状调查分析针对性一般，计划安排较合理的，得3-7分；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现状调查分析满足项目基本需求但缺乏正对性，计划安排有待完善的，得1-3分；不提供不得分。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1.07</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质量及进度控制措施</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能够正确解读和运用</w:t>
            </w:r>
            <w:r>
              <w:rPr>
                <w:rFonts w:hint="eastAsia" w:ascii="宋体" w:hAnsi="宋体" w:eastAsia="宋体" w:cs="宋体"/>
                <w:color w:val="auto"/>
                <w:sz w:val="24"/>
                <w:highlight w:val="none"/>
                <w:lang w:val="en-US" w:eastAsia="zh-CN"/>
              </w:rPr>
              <w:t>国家已发布的相关政策、规范</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要</w:t>
            </w:r>
            <w:r>
              <w:rPr>
                <w:rFonts w:hint="eastAsia" w:ascii="宋体" w:hAnsi="宋体" w:eastAsia="宋体" w:cs="宋体"/>
                <w:color w:val="auto"/>
                <w:sz w:val="24"/>
                <w:highlight w:val="none"/>
                <w:lang w:val="en-US" w:eastAsia="zh-CN"/>
              </w:rPr>
              <w:t>点</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需求，对不同阶段的工作有周密、细致的计划及控制措施，得</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（含）-</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工作有比较周密、细致的计划控制措施，得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（含）-</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工作组织没有周密、细致的计划及控制措施，得1-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1.08</w:t>
            </w: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服务保障措施</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10.00</w:t>
            </w:r>
          </w:p>
        </w:tc>
        <w:tc>
          <w:tcPr>
            <w:tcW w:w="64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en-US" w:eastAsia="zh-CN"/>
              </w:rPr>
              <w:t>保障</w:t>
            </w:r>
            <w:r>
              <w:rPr>
                <w:rFonts w:hint="eastAsia" w:ascii="宋体" w:hAnsi="宋体" w:eastAsia="宋体" w:cs="宋体"/>
                <w:color w:val="auto"/>
                <w:sz w:val="24"/>
                <w:highlight w:val="none"/>
                <w:lang w:eastAsia="zh-CN"/>
              </w:rPr>
              <w:t>体系及管理制度非常完整、服务措施非常科学合理，得</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（含）-1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分；</w:t>
            </w:r>
          </w:p>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en-US" w:eastAsia="zh-CN"/>
              </w:rPr>
              <w:t>保障</w:t>
            </w:r>
            <w:r>
              <w:rPr>
                <w:rFonts w:hint="eastAsia" w:ascii="宋体" w:hAnsi="宋体" w:eastAsia="宋体" w:cs="宋体"/>
                <w:color w:val="auto"/>
                <w:sz w:val="24"/>
                <w:highlight w:val="none"/>
                <w:lang w:eastAsia="zh-CN"/>
              </w:rPr>
              <w:t>体系及管理制度比较完整、服务措施比较科学合理，得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（含）-</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分；</w:t>
            </w:r>
          </w:p>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en-US" w:eastAsia="zh-CN"/>
              </w:rPr>
              <w:t>保障</w:t>
            </w:r>
            <w:r>
              <w:rPr>
                <w:rFonts w:hint="eastAsia" w:ascii="宋体" w:hAnsi="宋体" w:eastAsia="宋体" w:cs="宋体"/>
                <w:color w:val="auto"/>
                <w:sz w:val="24"/>
                <w:highlight w:val="none"/>
                <w:lang w:eastAsia="zh-CN"/>
              </w:rPr>
              <w:t>体系及管理制度基本完整、服务措施基本合理，得1-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未提供或提供内容较差，得0分。</w:t>
            </w:r>
          </w:p>
        </w:tc>
      </w:tr>
    </w:tbl>
    <w:p>
      <w:pPr>
        <w:adjustRightInd w:val="0"/>
        <w:snapToGrid w:val="0"/>
        <w:spacing w:line="360" w:lineRule="auto"/>
        <w:rPr>
          <w:rFonts w:hint="eastAsia" w:ascii="宋体" w:hAnsi="宋体" w:eastAsia="宋体" w:cs="宋体"/>
          <w:color w:val="auto"/>
          <w:sz w:val="24"/>
          <w:szCs w:val="21"/>
          <w:highlight w:val="none"/>
        </w:rPr>
      </w:pPr>
    </w:p>
    <w:p>
      <w:pPr>
        <w:adjustRightInd w:val="0"/>
        <w:snapToGrid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说明：</w:t>
      </w:r>
    </w:p>
    <w:p>
      <w:pPr>
        <w:spacing w:after="120" w:line="360" w:lineRule="auto"/>
        <w:ind w:firstLine="600" w:firstLineChars="2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1、公式中的投标报价及其个数是指通过评标委员会初步评审的有效投标人投标报价及其个数。</w:t>
      </w:r>
    </w:p>
    <w:p>
      <w:pPr>
        <w:spacing w:after="120" w:line="360" w:lineRule="auto"/>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spacing w:val="12"/>
          <w:sz w:val="24"/>
          <w:szCs w:val="24"/>
          <w:highlight w:val="none"/>
        </w:rPr>
        <w:t>本项目采用综合评分法评标，不保证最</w:t>
      </w:r>
      <w:r>
        <w:rPr>
          <w:rFonts w:hint="eastAsia" w:ascii="宋体" w:hAnsi="宋体" w:eastAsia="宋体" w:cs="宋体"/>
          <w:color w:val="auto"/>
          <w:spacing w:val="12"/>
          <w:sz w:val="24"/>
          <w:szCs w:val="24"/>
          <w:highlight w:val="none"/>
          <w:lang w:val="en-US" w:eastAsia="zh-CN"/>
        </w:rPr>
        <w:t>低</w:t>
      </w:r>
      <w:r>
        <w:rPr>
          <w:rFonts w:hint="eastAsia" w:ascii="宋体" w:hAnsi="宋体" w:eastAsia="宋体" w:cs="宋体"/>
          <w:color w:val="auto"/>
          <w:spacing w:val="12"/>
          <w:sz w:val="24"/>
          <w:szCs w:val="24"/>
          <w:highlight w:val="none"/>
        </w:rPr>
        <w:t>报价中标。</w:t>
      </w:r>
    </w:p>
    <w:p>
      <w:pPr>
        <w:spacing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sectPr>
      <w:headerReference r:id="rId15" w:type="default"/>
      <w:pgSz w:w="11906" w:h="16838"/>
      <w:pgMar w:top="1134" w:right="1033" w:bottom="1134" w:left="993" w:header="454" w:footer="45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23</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napToGrid w:val="0"/>
      <w:spacing w:line="240" w:lineRule="auto"/>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pStyle w:val="17"/>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CA365"/>
    <w:multiLevelType w:val="singleLevel"/>
    <w:tmpl w:val="84DCA365"/>
    <w:lvl w:ilvl="0" w:tentative="0">
      <w:start w:val="1"/>
      <w:numFmt w:val="decimal"/>
      <w:lvlText w:val="%1."/>
      <w:lvlJc w:val="left"/>
      <w:pPr>
        <w:tabs>
          <w:tab w:val="left" w:pos="312"/>
        </w:tabs>
      </w:pPr>
    </w:lvl>
  </w:abstractNum>
  <w:abstractNum w:abstractNumId="1">
    <w:nsid w:val="00000008"/>
    <w:multiLevelType w:val="multilevel"/>
    <w:tmpl w:val="00000008"/>
    <w:lvl w:ilvl="0" w:tentative="0">
      <w:start w:val="1"/>
      <w:numFmt w:val="decimal"/>
      <w:lvlText w:val="%1．"/>
      <w:lvlJc w:val="left"/>
      <w:pPr>
        <w:tabs>
          <w:tab w:val="left" w:pos="780"/>
        </w:tabs>
        <w:ind w:left="780" w:hanging="360"/>
      </w:pPr>
      <w:rPr>
        <w:rFonts w:hint="default"/>
        <w:color w:val="auto"/>
      </w:rPr>
    </w:lvl>
    <w:lvl w:ilvl="1" w:tentative="0">
      <w:start w:val="1"/>
      <w:numFmt w:val="decimal"/>
      <w:lvlText w:val="（%2）"/>
      <w:lvlJc w:val="left"/>
      <w:pPr>
        <w:tabs>
          <w:tab w:val="left" w:pos="1560"/>
        </w:tabs>
        <w:ind w:left="1560" w:hanging="720"/>
      </w:pPr>
      <w:rPr>
        <w:rFonts w:hint="default"/>
      </w:rPr>
    </w:lvl>
    <w:lvl w:ilvl="2" w:tentative="0">
      <w:start w:val="1"/>
      <w:numFmt w:val="decimalEnclosedCircle"/>
      <w:lvlText w:val="%3"/>
      <w:lvlJc w:val="left"/>
      <w:pPr>
        <w:tabs>
          <w:tab w:val="left" w:pos="1620"/>
        </w:tabs>
        <w:ind w:left="1620" w:hanging="360"/>
      </w:pPr>
      <w:rPr>
        <w:rFonts w:hint="default"/>
        <w:u w:val="none"/>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0"/>
    <w:multiLevelType w:val="multilevel"/>
    <w:tmpl w:val="00000010"/>
    <w:lvl w:ilvl="0" w:tentative="0">
      <w:start w:val="1"/>
      <w:numFmt w:val="decimal"/>
      <w:lvlText w:val="%1、"/>
      <w:lvlJc w:val="left"/>
      <w:pPr>
        <w:ind w:left="1050" w:hanging="4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00000019"/>
    <w:multiLevelType w:val="multilevel"/>
    <w:tmpl w:val="00000019"/>
    <w:lvl w:ilvl="0" w:tentative="0">
      <w:start w:val="1"/>
      <w:numFmt w:val="bullet"/>
      <w:lvlText w:val=""/>
      <w:lvlJc w:val="left"/>
      <w:pPr>
        <w:tabs>
          <w:tab w:val="left" w:pos="735"/>
        </w:tabs>
        <w:ind w:left="735" w:hanging="420"/>
      </w:pPr>
      <w:rPr>
        <w:rFonts w:hint="default" w:ascii="Wingdings" w:hAnsi="Wingdings"/>
      </w:rPr>
    </w:lvl>
    <w:lvl w:ilvl="1" w:tentative="0">
      <w:start w:val="1"/>
      <w:numFmt w:val="bullet"/>
      <w:pStyle w:val="32"/>
      <w:lvlText w:val=""/>
      <w:lvlJc w:val="left"/>
      <w:pPr>
        <w:tabs>
          <w:tab w:val="left" w:pos="1155"/>
        </w:tabs>
        <w:ind w:left="1155" w:hanging="420"/>
      </w:pPr>
      <w:rPr>
        <w:rFonts w:hint="default" w:ascii="Wingdings" w:hAnsi="Wingdings"/>
      </w:rPr>
    </w:lvl>
    <w:lvl w:ilvl="2" w:tentative="0">
      <w:start w:val="1"/>
      <w:numFmt w:val="bullet"/>
      <w:lvlText w:val=""/>
      <w:lvlJc w:val="left"/>
      <w:pPr>
        <w:tabs>
          <w:tab w:val="left" w:pos="1575"/>
        </w:tabs>
        <w:ind w:left="1575" w:hanging="420"/>
      </w:pPr>
      <w:rPr>
        <w:rFonts w:hint="default" w:ascii="Wingdings" w:hAnsi="Wingdings"/>
      </w:rPr>
    </w:lvl>
    <w:lvl w:ilvl="3" w:tentative="0">
      <w:start w:val="1"/>
      <w:numFmt w:val="bullet"/>
      <w:lvlText w:val=""/>
      <w:lvlJc w:val="left"/>
      <w:pPr>
        <w:tabs>
          <w:tab w:val="left" w:pos="1995"/>
        </w:tabs>
        <w:ind w:left="1995" w:hanging="420"/>
      </w:pPr>
      <w:rPr>
        <w:rFonts w:hint="default" w:ascii="Wingdings" w:hAnsi="Wingdings"/>
      </w:rPr>
    </w:lvl>
    <w:lvl w:ilvl="4" w:tentative="0">
      <w:start w:val="1"/>
      <w:numFmt w:val="bullet"/>
      <w:lvlText w:val=""/>
      <w:lvlJc w:val="left"/>
      <w:pPr>
        <w:tabs>
          <w:tab w:val="left" w:pos="2415"/>
        </w:tabs>
        <w:ind w:left="2415" w:hanging="420"/>
      </w:pPr>
      <w:rPr>
        <w:rFonts w:hint="default" w:ascii="Wingdings" w:hAnsi="Wingdings"/>
      </w:rPr>
    </w:lvl>
    <w:lvl w:ilvl="5" w:tentative="0">
      <w:start w:val="1"/>
      <w:numFmt w:val="bullet"/>
      <w:lvlText w:val=""/>
      <w:lvlJc w:val="left"/>
      <w:pPr>
        <w:tabs>
          <w:tab w:val="left" w:pos="2835"/>
        </w:tabs>
        <w:ind w:left="2835" w:hanging="420"/>
      </w:pPr>
      <w:rPr>
        <w:rFonts w:hint="default" w:ascii="Wingdings" w:hAnsi="Wingdings"/>
      </w:rPr>
    </w:lvl>
    <w:lvl w:ilvl="6" w:tentative="0">
      <w:start w:val="1"/>
      <w:numFmt w:val="bullet"/>
      <w:lvlText w:val=""/>
      <w:lvlJc w:val="left"/>
      <w:pPr>
        <w:tabs>
          <w:tab w:val="left" w:pos="3255"/>
        </w:tabs>
        <w:ind w:left="3255" w:hanging="420"/>
      </w:pPr>
      <w:rPr>
        <w:rFonts w:hint="default" w:ascii="Wingdings" w:hAnsi="Wingdings"/>
      </w:rPr>
    </w:lvl>
    <w:lvl w:ilvl="7" w:tentative="0">
      <w:start w:val="1"/>
      <w:numFmt w:val="bullet"/>
      <w:lvlText w:val=""/>
      <w:lvlJc w:val="left"/>
      <w:pPr>
        <w:tabs>
          <w:tab w:val="left" w:pos="3675"/>
        </w:tabs>
        <w:ind w:left="3675" w:hanging="420"/>
      </w:pPr>
      <w:rPr>
        <w:rFonts w:hint="default" w:ascii="Wingdings" w:hAnsi="Wingdings"/>
      </w:rPr>
    </w:lvl>
    <w:lvl w:ilvl="8" w:tentative="0">
      <w:start w:val="1"/>
      <w:numFmt w:val="bullet"/>
      <w:lvlText w:val=""/>
      <w:lvlJc w:val="left"/>
      <w:pPr>
        <w:tabs>
          <w:tab w:val="left" w:pos="4095"/>
        </w:tabs>
        <w:ind w:left="4095" w:hanging="420"/>
      </w:pPr>
      <w:rPr>
        <w:rFonts w:hint="default" w:ascii="Wingdings" w:hAnsi="Wingdings"/>
      </w:rPr>
    </w:lvl>
  </w:abstractNum>
  <w:abstractNum w:abstractNumId="4">
    <w:nsid w:val="00000020"/>
    <w:multiLevelType w:val="multilevel"/>
    <w:tmpl w:val="00000020"/>
    <w:lvl w:ilvl="0" w:tentative="0">
      <w:start w:val="1"/>
      <w:numFmt w:val="japaneseCounting"/>
      <w:lvlText w:val="%1、"/>
      <w:lvlJc w:val="left"/>
      <w:pPr>
        <w:ind w:left="1361" w:hanging="510"/>
      </w:pPr>
      <w:rPr>
        <w:rFonts w:hint="default"/>
        <w:b/>
        <w:lang w:val="en-US"/>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5">
    <w:nsid w:val="0000002A"/>
    <w:multiLevelType w:val="multilevel"/>
    <w:tmpl w:val="0000002A"/>
    <w:lvl w:ilvl="0" w:tentative="0">
      <w:start w:val="1"/>
      <w:numFmt w:val="japaneseCounting"/>
      <w:lvlText w:val="第%1章"/>
      <w:lvlJc w:val="left"/>
      <w:pPr>
        <w:tabs>
          <w:tab w:val="left" w:pos="1215"/>
        </w:tabs>
        <w:ind w:left="1215" w:hanging="12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D"/>
    <w:multiLevelType w:val="multilevel"/>
    <w:tmpl w:val="0000002D"/>
    <w:lvl w:ilvl="0" w:tentative="0">
      <w:start w:val="5"/>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31"/>
    <w:multiLevelType w:val="multilevel"/>
    <w:tmpl w:val="00000031"/>
    <w:lvl w:ilvl="0" w:tentative="0">
      <w:start w:val="1"/>
      <w:numFmt w:val="chineseCountingThousand"/>
      <w:lvlText w:val="第%1条"/>
      <w:lvlJc w:val="left"/>
      <w:pPr>
        <w:tabs>
          <w:tab w:val="left" w:pos="1828"/>
        </w:tabs>
        <w:ind w:left="2242"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6FE5E1F"/>
    <w:multiLevelType w:val="multilevel"/>
    <w:tmpl w:val="06FE5E1F"/>
    <w:lvl w:ilvl="0" w:tentative="0">
      <w:start w:val="1"/>
      <w:numFmt w:val="decimal"/>
      <w:lvlText w:val="%1."/>
      <w:lvlJc w:val="left"/>
      <w:pPr>
        <w:ind w:left="630" w:hanging="420"/>
      </w:pPr>
      <w:rPr>
        <w:b w:val="0"/>
        <w:color w:val="auto"/>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9">
    <w:nsid w:val="1CBB62B9"/>
    <w:multiLevelType w:val="multilevel"/>
    <w:tmpl w:val="1CBB62B9"/>
    <w:lvl w:ilvl="0" w:tentative="0">
      <w:start w:val="1"/>
      <w:numFmt w:val="decimal"/>
      <w:lvlText w:val="4.%1"/>
      <w:lvlJc w:val="left"/>
      <w:pPr>
        <w:ind w:left="782" w:hanging="420"/>
      </w:pPr>
      <w:rPr>
        <w:rFonts w:hint="eastAsia"/>
      </w:rPr>
    </w:lvl>
    <w:lvl w:ilvl="1" w:tentative="0">
      <w:start w:val="1"/>
      <w:numFmt w:val="lowerLetter"/>
      <w:lvlText w:val="%2)"/>
      <w:lvlJc w:val="left"/>
      <w:pPr>
        <w:ind w:left="1202" w:hanging="420"/>
      </w:pPr>
    </w:lvl>
    <w:lvl w:ilvl="2" w:tentative="0">
      <w:start w:val="1"/>
      <w:numFmt w:val="lowerRoman"/>
      <w:lvlText w:val="%3."/>
      <w:lvlJc w:val="right"/>
      <w:pPr>
        <w:ind w:left="1622" w:hanging="420"/>
      </w:pPr>
    </w:lvl>
    <w:lvl w:ilvl="3" w:tentative="0">
      <w:start w:val="1"/>
      <w:numFmt w:val="decimal"/>
      <w:lvlText w:val="%4."/>
      <w:lvlJc w:val="left"/>
      <w:pPr>
        <w:ind w:left="2042" w:hanging="420"/>
      </w:pPr>
    </w:lvl>
    <w:lvl w:ilvl="4" w:tentative="0">
      <w:start w:val="1"/>
      <w:numFmt w:val="lowerLetter"/>
      <w:lvlText w:val="%5)"/>
      <w:lvlJc w:val="left"/>
      <w:pPr>
        <w:ind w:left="2462" w:hanging="420"/>
      </w:pPr>
    </w:lvl>
    <w:lvl w:ilvl="5" w:tentative="0">
      <w:start w:val="1"/>
      <w:numFmt w:val="lowerRoman"/>
      <w:lvlText w:val="%6."/>
      <w:lvlJc w:val="right"/>
      <w:pPr>
        <w:ind w:left="2882" w:hanging="420"/>
      </w:pPr>
    </w:lvl>
    <w:lvl w:ilvl="6" w:tentative="0">
      <w:start w:val="1"/>
      <w:numFmt w:val="decimal"/>
      <w:lvlText w:val="%7."/>
      <w:lvlJc w:val="left"/>
      <w:pPr>
        <w:ind w:left="3302" w:hanging="420"/>
      </w:pPr>
    </w:lvl>
    <w:lvl w:ilvl="7" w:tentative="0">
      <w:start w:val="1"/>
      <w:numFmt w:val="lowerLetter"/>
      <w:lvlText w:val="%8)"/>
      <w:lvlJc w:val="left"/>
      <w:pPr>
        <w:ind w:left="3722" w:hanging="420"/>
      </w:pPr>
    </w:lvl>
    <w:lvl w:ilvl="8" w:tentative="0">
      <w:start w:val="1"/>
      <w:numFmt w:val="lowerRoman"/>
      <w:lvlText w:val="%9."/>
      <w:lvlJc w:val="right"/>
      <w:pPr>
        <w:ind w:left="4142" w:hanging="420"/>
      </w:pPr>
    </w:lvl>
  </w:abstractNum>
  <w:abstractNum w:abstractNumId="10">
    <w:nsid w:val="218347B7"/>
    <w:multiLevelType w:val="multilevel"/>
    <w:tmpl w:val="218347B7"/>
    <w:lvl w:ilvl="0" w:tentative="0">
      <w:start w:val="2"/>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7C37DCC"/>
    <w:multiLevelType w:val="singleLevel"/>
    <w:tmpl w:val="37C37DCC"/>
    <w:lvl w:ilvl="0" w:tentative="0">
      <w:start w:val="8"/>
      <w:numFmt w:val="decimal"/>
      <w:suff w:val="nothing"/>
      <w:lvlText w:val="%1、"/>
      <w:lvlJc w:val="left"/>
    </w:lvl>
  </w:abstractNum>
  <w:num w:numId="1">
    <w:abstractNumId w:val="3"/>
  </w:num>
  <w:num w:numId="2">
    <w:abstractNumId w:val="5"/>
  </w:num>
  <w:num w:numId="3">
    <w:abstractNumId w:val="4"/>
  </w:num>
  <w:num w:numId="4">
    <w:abstractNumId w:val="1"/>
  </w:num>
  <w:num w:numId="5">
    <w:abstractNumId w:val="8"/>
  </w:num>
  <w:num w:numId="6">
    <w:abstractNumId w:val="0"/>
  </w:num>
  <w:num w:numId="7">
    <w:abstractNumId w:val="10"/>
  </w:num>
  <w:num w:numId="8">
    <w:abstractNumId w:val="9"/>
  </w:num>
  <w:num w:numId="9">
    <w:abstractNumId w:val="6"/>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MmY2Njk0NDJjMTdmZGUyYmU2ZDg2ZGFjOTY2M2EifQ=="/>
  </w:docVars>
  <w:rsids>
    <w:rsidRoot w:val="00AE64D3"/>
    <w:rsid w:val="004435F9"/>
    <w:rsid w:val="00540125"/>
    <w:rsid w:val="00584E5C"/>
    <w:rsid w:val="005935A7"/>
    <w:rsid w:val="005D60D2"/>
    <w:rsid w:val="00896CEB"/>
    <w:rsid w:val="00AE64D3"/>
    <w:rsid w:val="00CA4C04"/>
    <w:rsid w:val="00F606B4"/>
    <w:rsid w:val="023A0155"/>
    <w:rsid w:val="05230EF2"/>
    <w:rsid w:val="058F3D23"/>
    <w:rsid w:val="063B5E45"/>
    <w:rsid w:val="0815442F"/>
    <w:rsid w:val="0B6A70A6"/>
    <w:rsid w:val="0D7213F0"/>
    <w:rsid w:val="0EF17189"/>
    <w:rsid w:val="0FF572EE"/>
    <w:rsid w:val="1068099F"/>
    <w:rsid w:val="11B117D5"/>
    <w:rsid w:val="11EB462D"/>
    <w:rsid w:val="123516E6"/>
    <w:rsid w:val="139D323C"/>
    <w:rsid w:val="152A6A62"/>
    <w:rsid w:val="179D622A"/>
    <w:rsid w:val="19E323B6"/>
    <w:rsid w:val="19E57F4B"/>
    <w:rsid w:val="19EE6FFC"/>
    <w:rsid w:val="1BCB3937"/>
    <w:rsid w:val="1CEA4A68"/>
    <w:rsid w:val="1E4A1F7E"/>
    <w:rsid w:val="1E531AEB"/>
    <w:rsid w:val="1F3D56BA"/>
    <w:rsid w:val="1FFE1506"/>
    <w:rsid w:val="201B39D1"/>
    <w:rsid w:val="2130731C"/>
    <w:rsid w:val="22121FE4"/>
    <w:rsid w:val="227C5A5D"/>
    <w:rsid w:val="25DA11FD"/>
    <w:rsid w:val="26C25326"/>
    <w:rsid w:val="2B1A1F5B"/>
    <w:rsid w:val="2BE727EF"/>
    <w:rsid w:val="2CAD22EA"/>
    <w:rsid w:val="317B2342"/>
    <w:rsid w:val="34C85E7D"/>
    <w:rsid w:val="34CD7B05"/>
    <w:rsid w:val="378751C1"/>
    <w:rsid w:val="39CE0E6A"/>
    <w:rsid w:val="3EB017C6"/>
    <w:rsid w:val="419F6095"/>
    <w:rsid w:val="425C1958"/>
    <w:rsid w:val="429B4FBF"/>
    <w:rsid w:val="44AC6E9D"/>
    <w:rsid w:val="4A7F0A3A"/>
    <w:rsid w:val="4AF04E33"/>
    <w:rsid w:val="4D954C96"/>
    <w:rsid w:val="4E516261"/>
    <w:rsid w:val="4FBA3327"/>
    <w:rsid w:val="514F231E"/>
    <w:rsid w:val="52B94C95"/>
    <w:rsid w:val="55E53589"/>
    <w:rsid w:val="58776344"/>
    <w:rsid w:val="63B51422"/>
    <w:rsid w:val="64C00108"/>
    <w:rsid w:val="65F6176D"/>
    <w:rsid w:val="66D440E1"/>
    <w:rsid w:val="66EB68F2"/>
    <w:rsid w:val="68A00192"/>
    <w:rsid w:val="6994390F"/>
    <w:rsid w:val="6AAE1B03"/>
    <w:rsid w:val="6B0654F6"/>
    <w:rsid w:val="6CD90EFB"/>
    <w:rsid w:val="703E226E"/>
    <w:rsid w:val="72423AB7"/>
    <w:rsid w:val="73B8461C"/>
    <w:rsid w:val="75517E14"/>
    <w:rsid w:val="77B96FB2"/>
    <w:rsid w:val="7BB07DA1"/>
    <w:rsid w:val="7C766A67"/>
    <w:rsid w:val="7C81239A"/>
    <w:rsid w:val="7F857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keepLines/>
      <w:spacing w:line="576" w:lineRule="auto"/>
      <w:outlineLvl w:val="0"/>
    </w:pPr>
    <w:rPr>
      <w:b/>
      <w:bCs/>
      <w:kern w:val="44"/>
      <w:sz w:val="44"/>
      <w:szCs w:val="44"/>
    </w:rPr>
  </w:style>
  <w:style w:type="paragraph" w:styleId="5">
    <w:name w:val="heading 2"/>
    <w:basedOn w:val="1"/>
    <w:next w:val="1"/>
    <w:autoRedefine/>
    <w:unhideWhenUsed/>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autoRedefine/>
    <w:unhideWhenUsed/>
    <w:qFormat/>
    <w:uiPriority w:val="0"/>
    <w:pPr>
      <w:keepNext/>
      <w:keepLines/>
      <w:spacing w:line="413" w:lineRule="auto"/>
      <w:outlineLvl w:val="2"/>
    </w:pPr>
    <w:rPr>
      <w:b/>
      <w:bCs/>
      <w:sz w:val="32"/>
      <w:szCs w:val="32"/>
    </w:rPr>
  </w:style>
  <w:style w:type="paragraph" w:styleId="7">
    <w:name w:val="heading 4"/>
    <w:basedOn w:val="1"/>
    <w:next w:val="1"/>
    <w:autoRedefine/>
    <w:unhideWhenUsed/>
    <w:qFormat/>
    <w:uiPriority w:val="0"/>
    <w:pPr>
      <w:keepNext/>
      <w:keepLines/>
      <w:widowControl/>
      <w:spacing w:line="360" w:lineRule="auto"/>
      <w:jc w:val="center"/>
      <w:outlineLvl w:val="3"/>
    </w:pPr>
    <w:rPr>
      <w:rFonts w:ascii="Arial" w:hAnsi="Arial" w:eastAsia="黑体"/>
      <w:kern w:val="0"/>
      <w:sz w:val="28"/>
    </w:rPr>
  </w:style>
  <w:style w:type="paragraph" w:styleId="8">
    <w:name w:val="heading 5"/>
    <w:basedOn w:val="1"/>
    <w:next w:val="1"/>
    <w:autoRedefine/>
    <w:unhideWhenUsed/>
    <w:qFormat/>
    <w:uiPriority w:val="0"/>
    <w:pPr>
      <w:keepNext/>
      <w:keepLines/>
      <w:widowControl/>
      <w:spacing w:line="360" w:lineRule="auto"/>
      <w:ind w:firstLine="499"/>
      <w:jc w:val="left"/>
      <w:outlineLvl w:val="4"/>
    </w:pPr>
    <w:rPr>
      <w:rFonts w:ascii="宋体" w:hAnsi="宋体"/>
      <w:b/>
      <w:kern w:val="0"/>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autoSpaceDE/>
      <w:autoSpaceDN/>
      <w:spacing w:after="120" w:line="360" w:lineRule="atLeast"/>
      <w:ind w:left="420" w:firstLine="210"/>
      <w:jc w:val="left"/>
      <w:textAlignment w:val="baseline"/>
    </w:pPr>
    <w:rPr>
      <w:rFonts w:ascii="Times New Roman"/>
      <w:spacing w:val="0"/>
      <w:sz w:val="24"/>
    </w:rPr>
  </w:style>
  <w:style w:type="paragraph" w:styleId="3">
    <w:name w:val="Body Text Indent"/>
    <w:basedOn w:val="1"/>
    <w:autoRedefine/>
    <w:qFormat/>
    <w:uiPriority w:val="99"/>
    <w:pPr>
      <w:autoSpaceDE w:val="0"/>
      <w:autoSpaceDN w:val="0"/>
      <w:adjustRightInd w:val="0"/>
      <w:spacing w:line="312" w:lineRule="auto"/>
      <w:ind w:firstLine="680"/>
      <w:textAlignment w:val="bottom"/>
    </w:pPr>
    <w:rPr>
      <w:rFonts w:ascii="宋体"/>
      <w:spacing w:val="6"/>
      <w:kern w:val="0"/>
      <w:sz w:val="28"/>
    </w:rPr>
  </w:style>
  <w:style w:type="paragraph" w:styleId="9">
    <w:name w:val="caption"/>
    <w:basedOn w:val="1"/>
    <w:next w:val="1"/>
    <w:autoRedefine/>
    <w:unhideWhenUsed/>
    <w:qFormat/>
    <w:uiPriority w:val="0"/>
    <w:pPr>
      <w:spacing w:line="480" w:lineRule="auto"/>
    </w:pPr>
    <w:rPr>
      <w:rFonts w:ascii="华文中宋" w:hAnsi="华文中宋" w:eastAsia="华文中宋"/>
      <w:sz w:val="36"/>
    </w:rPr>
  </w:style>
  <w:style w:type="paragraph" w:styleId="10">
    <w:name w:val="annotation text"/>
    <w:basedOn w:val="1"/>
    <w:link w:val="37"/>
    <w:autoRedefine/>
    <w:qFormat/>
    <w:uiPriority w:val="0"/>
    <w:pPr>
      <w:jc w:val="left"/>
    </w:pPr>
  </w:style>
  <w:style w:type="paragraph" w:styleId="11">
    <w:name w:val="Body Text"/>
    <w:basedOn w:val="1"/>
    <w:autoRedefine/>
    <w:qFormat/>
    <w:uiPriority w:val="0"/>
    <w:pPr>
      <w:spacing w:line="360" w:lineRule="auto"/>
    </w:pPr>
    <w:rPr>
      <w:spacing w:val="10"/>
      <w:sz w:val="28"/>
    </w:rPr>
  </w:style>
  <w:style w:type="paragraph" w:styleId="12">
    <w:name w:val="toc 3"/>
    <w:basedOn w:val="1"/>
    <w:next w:val="1"/>
    <w:autoRedefine/>
    <w:qFormat/>
    <w:uiPriority w:val="39"/>
    <w:pPr>
      <w:tabs>
        <w:tab w:val="right" w:leader="dot" w:pos="9628"/>
      </w:tabs>
      <w:ind w:left="567" w:leftChars="270"/>
    </w:pPr>
  </w:style>
  <w:style w:type="paragraph" w:styleId="13">
    <w:name w:val="Plain Text"/>
    <w:basedOn w:val="1"/>
    <w:autoRedefine/>
    <w:qFormat/>
    <w:uiPriority w:val="0"/>
    <w:rPr>
      <w:rFonts w:ascii="宋体" w:hAnsi="Courier New" w:cs="Courier New"/>
      <w:szCs w:val="21"/>
    </w:rPr>
  </w:style>
  <w:style w:type="paragraph" w:styleId="14">
    <w:name w:val="Date"/>
    <w:basedOn w:val="1"/>
    <w:next w:val="1"/>
    <w:autoRedefine/>
    <w:qFormat/>
    <w:uiPriority w:val="0"/>
  </w:style>
  <w:style w:type="paragraph" w:styleId="15">
    <w:name w:val="Body Text Indent 2"/>
    <w:basedOn w:val="1"/>
    <w:autoRedefine/>
    <w:qFormat/>
    <w:uiPriority w:val="0"/>
    <w:pPr>
      <w:widowControl/>
      <w:overflowPunct w:val="0"/>
      <w:autoSpaceDE w:val="0"/>
      <w:autoSpaceDN w:val="0"/>
      <w:adjustRightInd w:val="0"/>
      <w:spacing w:line="360" w:lineRule="auto"/>
      <w:ind w:firstLine="555"/>
    </w:pPr>
    <w:rPr>
      <w:rFonts w:ascii="宋体" w:hAnsi="MS Sans Serif"/>
      <w:spacing w:val="12"/>
      <w:kern w:val="0"/>
      <w:sz w:val="24"/>
    </w:rPr>
  </w:style>
  <w:style w:type="paragraph" w:styleId="16">
    <w:name w:val="Balloon Text"/>
    <w:basedOn w:val="1"/>
    <w:link w:val="35"/>
    <w:autoRedefine/>
    <w:qFormat/>
    <w:uiPriority w:val="0"/>
    <w:rPr>
      <w:sz w:val="18"/>
      <w:szCs w:val="18"/>
    </w:rPr>
  </w:style>
  <w:style w:type="paragraph" w:styleId="17">
    <w:name w:val="footer"/>
    <w:basedOn w:val="1"/>
    <w:link w:val="36"/>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Body Text Indent 3"/>
    <w:basedOn w:val="1"/>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rPr>
  </w:style>
  <w:style w:type="paragraph" w:styleId="21">
    <w:name w:val="toc 2"/>
    <w:basedOn w:val="1"/>
    <w:next w:val="1"/>
    <w:autoRedefine/>
    <w:qFormat/>
    <w:uiPriority w:val="0"/>
    <w:pPr>
      <w:ind w:left="420" w:leftChars="200"/>
    </w:pPr>
  </w:style>
  <w:style w:type="paragraph" w:styleId="22">
    <w:name w:val="Normal (Web)"/>
    <w:basedOn w:val="1"/>
    <w:next w:val="23"/>
    <w:autoRedefine/>
    <w:qFormat/>
    <w:uiPriority w:val="0"/>
    <w:rPr>
      <w:sz w:val="24"/>
      <w:szCs w:val="24"/>
    </w:rPr>
  </w:style>
  <w:style w:type="paragraph" w:customStyle="1" w:styleId="23">
    <w:name w:val="样式 标题 3 + (中文) 黑体 小四 非加粗 段前: 7.8 磅 段后: 0 磅 行距: 固定值 20 磅"/>
    <w:basedOn w:val="6"/>
    <w:next w:val="24"/>
    <w:autoRedefine/>
    <w:qFormat/>
    <w:uiPriority w:val="0"/>
    <w:pPr>
      <w:spacing w:line="400" w:lineRule="exact"/>
    </w:pPr>
    <w:rPr>
      <w:rFonts w:eastAsia="黑体" w:cs="宋体"/>
      <w:b w:val="0"/>
      <w:szCs w:val="20"/>
    </w:rPr>
  </w:style>
  <w:style w:type="paragraph" w:customStyle="1" w:styleId="24">
    <w:name w:val="font7"/>
    <w:basedOn w:val="5"/>
    <w:next w:val="12"/>
    <w:autoRedefine/>
    <w:qFormat/>
    <w:uiPriority w:val="0"/>
    <w:pPr>
      <w:widowControl/>
      <w:spacing w:before="280" w:after="280" w:line="240" w:lineRule="auto"/>
      <w:ind w:left="3584" w:firstLine="4"/>
      <w:outlineLvl w:val="0"/>
    </w:pPr>
  </w:style>
  <w:style w:type="paragraph" w:styleId="25">
    <w:name w:val="annotation subject"/>
    <w:basedOn w:val="10"/>
    <w:next w:val="10"/>
    <w:link w:val="38"/>
    <w:autoRedefine/>
    <w:qFormat/>
    <w:uiPriority w:val="0"/>
    <w:rPr>
      <w:b/>
      <w:bCs/>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qFormat/>
    <w:uiPriority w:val="99"/>
    <w:rPr>
      <w:rFonts w:ascii="Times New Roman" w:hAnsi="Times New Roman" w:eastAsia="宋体" w:cs="Times New Roman"/>
      <w:color w:val="0000FF"/>
      <w:u w:val="single"/>
    </w:rPr>
  </w:style>
  <w:style w:type="character" w:styleId="30">
    <w:name w:val="annotation reference"/>
    <w:basedOn w:val="28"/>
    <w:autoRedefine/>
    <w:qFormat/>
    <w:uiPriority w:val="0"/>
    <w:rPr>
      <w:sz w:val="21"/>
      <w:szCs w:val="21"/>
    </w:rPr>
  </w:style>
  <w:style w:type="paragraph" w:customStyle="1" w:styleId="31">
    <w:name w:val="_Style 151"/>
    <w:basedOn w:val="1"/>
    <w:autoRedefine/>
    <w:qFormat/>
    <w:uiPriority w:val="0"/>
    <w:pPr>
      <w:ind w:firstLine="420" w:firstLineChars="200"/>
    </w:pPr>
    <w:rPr>
      <w:szCs w:val="24"/>
    </w:rPr>
  </w:style>
  <w:style w:type="paragraph" w:customStyle="1" w:styleId="32">
    <w:name w:val="123"/>
    <w:basedOn w:val="1"/>
    <w:autoRedefine/>
    <w:qFormat/>
    <w:uiPriority w:val="0"/>
    <w:pPr>
      <w:numPr>
        <w:ilvl w:val="1"/>
        <w:numId w:val="1"/>
      </w:numPr>
    </w:pPr>
    <w:rPr>
      <w:bCs/>
      <w:szCs w:val="24"/>
    </w:rPr>
  </w:style>
  <w:style w:type="paragraph" w:customStyle="1" w:styleId="33">
    <w:name w:val="_Style 1"/>
    <w:basedOn w:val="1"/>
    <w:autoRedefine/>
    <w:qFormat/>
    <w:uiPriority w:val="0"/>
    <w:pPr>
      <w:ind w:firstLine="420" w:firstLineChars="200"/>
    </w:pPr>
    <w:rPr>
      <w:szCs w:val="24"/>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批注框文本 Char"/>
    <w:basedOn w:val="28"/>
    <w:link w:val="16"/>
    <w:autoRedefine/>
    <w:qFormat/>
    <w:uiPriority w:val="0"/>
    <w:rPr>
      <w:kern w:val="2"/>
      <w:sz w:val="18"/>
      <w:szCs w:val="18"/>
    </w:rPr>
  </w:style>
  <w:style w:type="character" w:customStyle="1" w:styleId="36">
    <w:name w:val="页脚 Char"/>
    <w:basedOn w:val="28"/>
    <w:link w:val="17"/>
    <w:autoRedefine/>
    <w:qFormat/>
    <w:uiPriority w:val="0"/>
    <w:rPr>
      <w:kern w:val="2"/>
      <w:sz w:val="18"/>
      <w:szCs w:val="18"/>
    </w:rPr>
  </w:style>
  <w:style w:type="character" w:customStyle="1" w:styleId="37">
    <w:name w:val="批注文字 Char"/>
    <w:basedOn w:val="28"/>
    <w:link w:val="10"/>
    <w:autoRedefine/>
    <w:qFormat/>
    <w:uiPriority w:val="0"/>
    <w:rPr>
      <w:kern w:val="2"/>
      <w:sz w:val="21"/>
    </w:rPr>
  </w:style>
  <w:style w:type="character" w:customStyle="1" w:styleId="38">
    <w:name w:val="批注主题 Char"/>
    <w:basedOn w:val="37"/>
    <w:link w:val="25"/>
    <w:autoRedefine/>
    <w:qFormat/>
    <w:uiPriority w:val="0"/>
    <w:rPr>
      <w:b/>
      <w:bCs/>
    </w:rPr>
  </w:style>
  <w:style w:type="paragraph" w:customStyle="1" w:styleId="39">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头"/>
    <w:basedOn w:val="1"/>
    <w:autoRedefine/>
    <w:qFormat/>
    <w:uiPriority w:val="0"/>
    <w:pPr>
      <w:adjustRightInd w:val="0"/>
      <w:snapToGrid w:val="0"/>
      <w:spacing w:line="312" w:lineRule="auto"/>
      <w:jc w:val="center"/>
      <w:textAlignment w:val="baseline"/>
    </w:pPr>
    <w:rPr>
      <w:rFonts w:ascii="黑体" w:eastAsia="黑体"/>
      <w:b/>
      <w:color w:val="000000"/>
      <w:spacing w:val="6"/>
      <w:kern w:val="0"/>
      <w:sz w:val="32"/>
    </w:rPr>
  </w:style>
  <w:style w:type="paragraph" w:styleId="41">
    <w:name w:val="No Spacing"/>
    <w:basedOn w:val="1"/>
    <w:autoRedefine/>
    <w:qFormat/>
    <w:uiPriority w:val="1"/>
    <w:rPr>
      <w:rFonts w:ascii="Calibri" w:hAnsi="Calibri" w:eastAsia="宋体" w:cs="Times New Roman"/>
      <w:sz w:val="22"/>
      <w:szCs w:val="22"/>
      <w:lang w:val="en-US" w:eastAsia="zh-CN" w:bidi="ar-SA"/>
    </w:rPr>
  </w:style>
  <w:style w:type="paragraph" w:customStyle="1" w:styleId="42">
    <w:name w:val="yzh-正文段落"/>
    <w:basedOn w:val="11"/>
    <w:autoRedefine/>
    <w:qFormat/>
    <w:uiPriority w:val="0"/>
    <w:pPr>
      <w:adjustRightInd w:val="0"/>
      <w:snapToGrid w:val="0"/>
      <w:ind w:left="735" w:leftChars="350" w:firstLine="480" w:firstLineChars="200"/>
      <w:textAlignment w:val="center"/>
    </w:pPr>
    <w:rPr>
      <w:rFonts w:ascii="宋体" w:hAnsi="宋体"/>
      <w:snapToGrid w:val="0"/>
      <w:spacing w:val="0"/>
      <w:sz w:val="24"/>
      <w:szCs w:val="24"/>
    </w:rPr>
  </w:style>
  <w:style w:type="paragraph" w:customStyle="1" w:styleId="43">
    <w:name w:val="yzh-款"/>
    <w:basedOn w:val="1"/>
    <w:next w:val="42"/>
    <w:autoRedefine/>
    <w:qFormat/>
    <w:uiPriority w:val="0"/>
    <w:pPr>
      <w:adjustRightInd w:val="0"/>
      <w:snapToGrid w:val="0"/>
      <w:spacing w:line="480" w:lineRule="auto"/>
      <w:jc w:val="left"/>
      <w:textAlignment w:val="center"/>
      <w:outlineLvl w:val="3"/>
    </w:pPr>
    <w:rPr>
      <w:rFonts w:ascii="宋体" w:hAnsi="宋体" w:eastAsia="黑体"/>
      <w:b/>
      <w:kern w:val="0"/>
      <w:sz w:val="24"/>
      <w:szCs w:val="24"/>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28534</Words>
  <Characters>30117</Characters>
  <Lines>210</Lines>
  <Paragraphs>59</Paragraphs>
  <TotalTime>0</TotalTime>
  <ScaleCrop>false</ScaleCrop>
  <LinksUpToDate>false</LinksUpToDate>
  <CharactersWithSpaces>32148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2022-11-01T09:02:00Z</dcterms:created>
  <dc:creator>Administrator</dc:creator>
  <cp:lastModifiedBy>࿐ཉི༗࿆Mr。張 ༗࿆ཉི࿐</cp:lastModifiedBy>
  <cp:lastPrinted>2024-03-06T01:00:00Z</cp:lastPrinted>
  <dcterms:modified xsi:type="dcterms:W3CDTF">2024-03-08T02:27:36Z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2E9C1C9442724C9690F6B417BED084F8_13</vt:lpwstr>
  </property>
</Properties>
</file>